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6F6" w:rsidRPr="008C76F6" w:rsidRDefault="008C76F6" w:rsidP="008C76F6">
      <w:pPr>
        <w:spacing w:after="0"/>
        <w:rPr>
          <w:b/>
          <w:color w:val="FF0000"/>
        </w:rPr>
      </w:pPr>
      <w:r>
        <w:rPr>
          <w:b/>
          <w:color w:val="FF0000"/>
        </w:rPr>
        <w:t xml:space="preserve">RECUPERO LEZIONE DEL 02/12/2015 (POMERIGGIO) “LA CELIACHIA”. DOCENTE: </w:t>
      </w:r>
      <w:proofErr w:type="spellStart"/>
      <w:r>
        <w:rPr>
          <w:b/>
          <w:color w:val="FF0000"/>
        </w:rPr>
        <w:t>DOTT</w:t>
      </w:r>
      <w:proofErr w:type="spellEnd"/>
      <w:r>
        <w:rPr>
          <w:b/>
          <w:color w:val="FF0000"/>
        </w:rPr>
        <w:t>. G. FORNACIARI</w:t>
      </w:r>
    </w:p>
    <w:p w:rsidR="008C76F6" w:rsidRPr="008C76F6" w:rsidRDefault="008C76F6" w:rsidP="008C76F6">
      <w:pPr>
        <w:spacing w:after="0"/>
        <w:rPr>
          <w:b/>
          <w:color w:val="FF0000"/>
        </w:rPr>
      </w:pPr>
    </w:p>
    <w:p w:rsidR="008C76F6" w:rsidRPr="008C76F6" w:rsidRDefault="008C76F6" w:rsidP="008C76F6">
      <w:pPr>
        <w:spacing w:after="0"/>
        <w:rPr>
          <w:b/>
          <w:color w:val="FF0000"/>
        </w:rPr>
      </w:pPr>
    </w:p>
    <w:p w:rsidR="008C76F6" w:rsidRPr="008C76F6" w:rsidRDefault="008C76F6" w:rsidP="008C76F6">
      <w:pPr>
        <w:spacing w:after="0"/>
        <w:rPr>
          <w:b/>
          <w:color w:val="FF0000"/>
        </w:rPr>
      </w:pPr>
    </w:p>
    <w:p w:rsidR="00947A0E" w:rsidRPr="00B62699" w:rsidRDefault="00B62699" w:rsidP="00A750FA">
      <w:pPr>
        <w:spacing w:after="0"/>
        <w:jc w:val="center"/>
        <w:rPr>
          <w:b/>
          <w:sz w:val="32"/>
          <w:szCs w:val="32"/>
        </w:rPr>
      </w:pPr>
      <w:r>
        <w:rPr>
          <w:b/>
          <w:sz w:val="32"/>
          <w:szCs w:val="32"/>
        </w:rPr>
        <w:t>LA MALATTIA CELIACA IN MEDICINA GENERALE</w:t>
      </w:r>
    </w:p>
    <w:p w:rsidR="00947A0E" w:rsidRDefault="00947A0E" w:rsidP="00A750FA">
      <w:pPr>
        <w:spacing w:after="0"/>
      </w:pPr>
    </w:p>
    <w:p w:rsidR="00A750FA" w:rsidRPr="00A750FA" w:rsidRDefault="00A750FA" w:rsidP="00A750FA">
      <w:pPr>
        <w:rPr>
          <w:b/>
          <w:sz w:val="28"/>
          <w:szCs w:val="28"/>
        </w:rPr>
      </w:pPr>
      <w:r>
        <w:rPr>
          <w:b/>
          <w:sz w:val="28"/>
          <w:szCs w:val="28"/>
        </w:rPr>
        <w:t>INTRODUZIONE E EPIDEMIOLOGIA</w:t>
      </w:r>
    </w:p>
    <w:p w:rsidR="00553AAD" w:rsidRDefault="00553AAD" w:rsidP="00EF6F4B">
      <w:pPr>
        <w:spacing w:line="360" w:lineRule="auto"/>
      </w:pPr>
      <w:r>
        <w:t>La malattia celiaca, detta anche sprue ce</w:t>
      </w:r>
      <w:r w:rsidRPr="00553AAD">
        <w:t xml:space="preserve">liaca o enteropatia da glutine, è una malattia </w:t>
      </w:r>
      <w:proofErr w:type="spellStart"/>
      <w:r w:rsidRPr="00553AAD">
        <w:t>immunomediata</w:t>
      </w:r>
      <w:proofErr w:type="spellEnd"/>
      <w:r w:rsidRPr="00553AAD">
        <w:t xml:space="preserve"> scatenata dall’ingestione di glutine che, i</w:t>
      </w:r>
      <w:r>
        <w:t>n soggetti geneticamente predi</w:t>
      </w:r>
      <w:r w:rsidRPr="00553AAD">
        <w:t>sp</w:t>
      </w:r>
      <w:r>
        <w:t xml:space="preserve">osti, determina un processo </w:t>
      </w:r>
      <w:proofErr w:type="spellStart"/>
      <w:r>
        <w:t>inﬁ</w:t>
      </w:r>
      <w:r w:rsidRPr="00553AAD">
        <w:t>a</w:t>
      </w:r>
      <w:r>
        <w:t>mmatorio</w:t>
      </w:r>
      <w:proofErr w:type="spellEnd"/>
      <w:r>
        <w:t xml:space="preserve"> nell’intestino tenue con conseguenti segni e sintomi da malassorbi</w:t>
      </w:r>
      <w:r w:rsidRPr="00553AAD">
        <w:t xml:space="preserve">mento e </w:t>
      </w:r>
      <w:r w:rsidR="00A750FA">
        <w:t xml:space="preserve">manifestazioni extraintestinali, </w:t>
      </w:r>
      <w:r w:rsidR="002F7547">
        <w:t>conf</w:t>
      </w:r>
      <w:r w:rsidR="00A750FA">
        <w:t xml:space="preserve">igurandosi quindi come una vera e </w:t>
      </w:r>
      <w:r w:rsidR="002F7547">
        <w:t xml:space="preserve"> propria malattia sistemica.</w:t>
      </w:r>
    </w:p>
    <w:p w:rsidR="00553AAD" w:rsidRDefault="00553AAD" w:rsidP="00EF6F4B">
      <w:pPr>
        <w:spacing w:line="360" w:lineRule="auto"/>
      </w:pPr>
      <w:r>
        <w:t>Fino a non molti anni fa la malattia celiaca era considerata una malattia rara, prevalente nell’infanzia e associata invariabilmente a sintomi da malassorbimento. Lo scenario epidemiologico si è però nel tempo drasticamente modificato</w:t>
      </w:r>
      <w:r w:rsidRPr="00553AAD">
        <w:t xml:space="preserve"> con l’introduzione di test sierologi</w:t>
      </w:r>
      <w:r>
        <w:t xml:space="preserve">ci altamente sensibili e </w:t>
      </w:r>
      <w:proofErr w:type="spellStart"/>
      <w:r>
        <w:t>speciﬁ</w:t>
      </w:r>
      <w:r w:rsidRPr="00553AAD">
        <w:t>ci</w:t>
      </w:r>
      <w:proofErr w:type="spellEnd"/>
      <w:r w:rsidRPr="00553AAD">
        <w:t xml:space="preserve"> come gli anticorpi </w:t>
      </w:r>
      <w:proofErr w:type="spellStart"/>
      <w:r w:rsidRPr="00553AAD">
        <w:t>anti-endomisio</w:t>
      </w:r>
      <w:proofErr w:type="spellEnd"/>
      <w:r w:rsidRPr="00553AAD">
        <w:t xml:space="preserve"> (EMA) ed </w:t>
      </w:r>
      <w:proofErr w:type="spellStart"/>
      <w:r w:rsidRPr="00553AAD">
        <w:t>anti-transglutaminasi</w:t>
      </w:r>
      <w:proofErr w:type="spellEnd"/>
      <w:r w:rsidRPr="00553AAD">
        <w:t xml:space="preserve"> (TG) che hanno permesso screening di popolazione e la </w:t>
      </w:r>
      <w:proofErr w:type="spellStart"/>
      <w:r w:rsidRPr="00553AAD">
        <w:t>identiﬁcazione</w:t>
      </w:r>
      <w:proofErr w:type="spellEnd"/>
      <w:r w:rsidRPr="00553AAD">
        <w:t xml:space="preserve"> di </w:t>
      </w:r>
      <w:r w:rsidRPr="00553AAD">
        <w:rPr>
          <w:b/>
        </w:rPr>
        <w:t>svariate forme di presentazione</w:t>
      </w:r>
      <w:r>
        <w:t xml:space="preserve"> della malattia.</w:t>
      </w:r>
    </w:p>
    <w:p w:rsidR="00553AAD" w:rsidRDefault="00553AAD" w:rsidP="00EF6F4B">
      <w:pPr>
        <w:spacing w:line="360" w:lineRule="auto"/>
      </w:pPr>
      <w:r w:rsidRPr="00553AAD">
        <w:t xml:space="preserve">Gli studi epidemiologici basati sui nuovi test </w:t>
      </w:r>
      <w:proofErr w:type="spellStart"/>
      <w:r w:rsidRPr="00553AAD">
        <w:t>anticorpali</w:t>
      </w:r>
      <w:proofErr w:type="spellEnd"/>
      <w:r w:rsidRPr="00553AAD">
        <w:t xml:space="preserve"> hanno anche dimostrato che la </w:t>
      </w:r>
      <w:r w:rsidRPr="00553AAD">
        <w:rPr>
          <w:b/>
        </w:rPr>
        <w:t>diagnosi</w:t>
      </w:r>
      <w:r w:rsidRPr="00553AAD">
        <w:t xml:space="preserve"> di celiachia viene sempre più effettuata in </w:t>
      </w:r>
      <w:r w:rsidRPr="00553AAD">
        <w:rPr>
          <w:b/>
        </w:rPr>
        <w:t>età adulta</w:t>
      </w:r>
      <w:r w:rsidRPr="00553AAD">
        <w:t xml:space="preserve"> con una attuale età media di presentazione di circa 45 anni, due pi</w:t>
      </w:r>
      <w:r>
        <w:t xml:space="preserve">cchi tra 1-5 anni e 20-50 anni </w:t>
      </w:r>
      <w:r w:rsidRPr="00553AAD">
        <w:t>ed un 20%</w:t>
      </w:r>
      <w:r>
        <w:t xml:space="preserve"> di diagnosi oltre i 60 anni. </w:t>
      </w:r>
      <w:r w:rsidRPr="00553AAD">
        <w:t>È inoltre prevalente nel sesso femminile con un rapporto maschi femmine di 1:2,5.</w:t>
      </w:r>
    </w:p>
    <w:p w:rsidR="00EF6F4B" w:rsidRDefault="00D335AE" w:rsidP="00EF6F4B">
      <w:pPr>
        <w:spacing w:after="0" w:line="360" w:lineRule="auto"/>
      </w:pPr>
      <w:r>
        <w:t>Secondo il database della SIMG (società italiana di medicina generale)</w:t>
      </w:r>
      <w:r w:rsidRPr="00D335AE">
        <w:t xml:space="preserve"> è raddoppiato il numero di diagnos</w:t>
      </w:r>
      <w:r w:rsidR="00A750FA">
        <w:t>i di celiachia negli ultimi</w:t>
      </w:r>
      <w:r w:rsidRPr="00D335AE">
        <w:t xml:space="preserve"> 5 anni con un caso diagnosticato ogni 310 assistiti e la maggior consapevolezza della classe medica nei confronti di questa malattia sta facendo progressivamente venire alla luce la parte sommersa dell’iceberg.</w:t>
      </w:r>
      <w:r w:rsidR="00EF6F4B">
        <w:t xml:space="preserve"> </w:t>
      </w:r>
    </w:p>
    <w:p w:rsidR="00553AAD" w:rsidRDefault="00553AAD" w:rsidP="00EF6F4B">
      <w:pPr>
        <w:spacing w:line="360" w:lineRule="auto"/>
      </w:pPr>
      <w:r w:rsidRPr="00553AAD">
        <w:t>È stato così ampiamente dimostrato che la prevalenza della celiachia nella popolazione generale dei paesi occidentali è di circa l’1% con valori più elev</w:t>
      </w:r>
      <w:r>
        <w:t>ati riportati nell’Europa occi</w:t>
      </w:r>
      <w:r w:rsidRPr="00553AAD">
        <w:t>dentale, nel Nord America ed in Australia.</w:t>
      </w:r>
    </w:p>
    <w:p w:rsidR="00553AAD" w:rsidRDefault="00553AAD" w:rsidP="00EF6F4B">
      <w:pPr>
        <w:spacing w:line="360" w:lineRule="auto"/>
      </w:pPr>
      <w:r w:rsidRPr="00EF6F4B">
        <w:rPr>
          <w:b/>
        </w:rPr>
        <w:t>È importante riconoscere precocemente la</w:t>
      </w:r>
      <w:r w:rsidR="00D335AE" w:rsidRPr="00EF6F4B">
        <w:rPr>
          <w:b/>
        </w:rPr>
        <w:t xml:space="preserve"> ce</w:t>
      </w:r>
      <w:r w:rsidRPr="00EF6F4B">
        <w:rPr>
          <w:b/>
        </w:rPr>
        <w:t>liachia per un adeguato trattamento che possa prevenire le possibili manifestazioni sistemiche (infertilità, osteoporosi, malattie neurologiche, malattie autoimmuni) e le temibili complicanze</w:t>
      </w:r>
      <w:r w:rsidR="00D335AE" w:rsidRPr="00EF6F4B">
        <w:rPr>
          <w:b/>
        </w:rPr>
        <w:t xml:space="preserve"> (malattia celiaca refrattaria, </w:t>
      </w:r>
      <w:proofErr w:type="spellStart"/>
      <w:r w:rsidR="00D335AE" w:rsidRPr="00EF6F4B">
        <w:rPr>
          <w:b/>
        </w:rPr>
        <w:t>digiunoileite</w:t>
      </w:r>
      <w:proofErr w:type="spellEnd"/>
      <w:r w:rsidR="00D335AE" w:rsidRPr="00EF6F4B">
        <w:rPr>
          <w:b/>
        </w:rPr>
        <w:t xml:space="preserve"> ulcerativa, linfoma intestinale ed altre neoplasie)</w:t>
      </w:r>
      <w:r w:rsidR="00D335AE" w:rsidRPr="00D335AE">
        <w:t>.</w:t>
      </w:r>
    </w:p>
    <w:p w:rsidR="008C76F6" w:rsidRDefault="008C76F6" w:rsidP="00EF6F4B">
      <w:pPr>
        <w:spacing w:line="360" w:lineRule="auto"/>
        <w:rPr>
          <w:b/>
          <w:sz w:val="28"/>
          <w:szCs w:val="28"/>
        </w:rPr>
      </w:pPr>
    </w:p>
    <w:p w:rsidR="00D335AE" w:rsidRPr="00D335AE" w:rsidRDefault="00D335AE" w:rsidP="00EF6F4B">
      <w:pPr>
        <w:spacing w:line="360" w:lineRule="auto"/>
        <w:rPr>
          <w:b/>
          <w:sz w:val="28"/>
          <w:szCs w:val="28"/>
        </w:rPr>
      </w:pPr>
      <w:r>
        <w:rPr>
          <w:b/>
          <w:sz w:val="28"/>
          <w:szCs w:val="28"/>
        </w:rPr>
        <w:lastRenderedPageBreak/>
        <w:t>MANIFESTAZIONI CLINICHE</w:t>
      </w:r>
      <w:r w:rsidR="004F6243">
        <w:rPr>
          <w:b/>
          <w:sz w:val="28"/>
          <w:szCs w:val="28"/>
        </w:rPr>
        <w:t xml:space="preserve"> IN ETA’ PEDIATRICA</w:t>
      </w:r>
    </w:p>
    <w:p w:rsidR="00D335AE" w:rsidRDefault="00D335AE" w:rsidP="00EF6F4B">
      <w:pPr>
        <w:spacing w:line="360" w:lineRule="auto"/>
      </w:pPr>
      <w:r>
        <w:t xml:space="preserve">La </w:t>
      </w:r>
      <w:r w:rsidRPr="00D335AE">
        <w:rPr>
          <w:b/>
        </w:rPr>
        <w:t>forma classica</w:t>
      </w:r>
      <w:r w:rsidRPr="00D335AE">
        <w:t xml:space="preserve"> </w:t>
      </w:r>
      <w:r>
        <w:t>della malattia si mani</w:t>
      </w:r>
      <w:r w:rsidRPr="00D335AE">
        <w:t xml:space="preserve">festa di solito tra i 6 mesi di vita ed i 2 anni, dopo l’introduzione di glutine nella dieta. </w:t>
      </w:r>
      <w:r>
        <w:t>Sono caratteristici uno scarso accrescimento</w:t>
      </w:r>
      <w:r w:rsidRPr="00D335AE">
        <w:t>, diarrea</w:t>
      </w:r>
      <w:r>
        <w:t xml:space="preserve"> cronica, distensione addomina</w:t>
      </w:r>
      <w:r w:rsidRPr="00D335AE">
        <w:t>le, astenia, ipotonia muscolare, i</w:t>
      </w:r>
      <w:r>
        <w:t xml:space="preserve">nappetenza ed irritabilità. La </w:t>
      </w:r>
      <w:r w:rsidRPr="00D335AE">
        <w:rPr>
          <w:b/>
        </w:rPr>
        <w:t>crisi celiaca</w:t>
      </w:r>
      <w:r w:rsidRPr="00D335AE">
        <w:t>, caratterizzata da diarrea acq</w:t>
      </w:r>
      <w:r>
        <w:t>uosa esplosiva, marcata disten</w:t>
      </w:r>
      <w:r w:rsidRPr="00D335AE">
        <w:t>sione addominale</w:t>
      </w:r>
      <w:r>
        <w:t xml:space="preserve">, disidratazione, </w:t>
      </w:r>
      <w:proofErr w:type="spellStart"/>
      <w:r>
        <w:t>diselettroli</w:t>
      </w:r>
      <w:r w:rsidRPr="00D335AE">
        <w:t>temia</w:t>
      </w:r>
      <w:proofErr w:type="spellEnd"/>
      <w:r w:rsidRPr="00D335AE">
        <w:t>, ipotensione e letargia, si presenta più raramente al giorno d’oggi.</w:t>
      </w:r>
    </w:p>
    <w:p w:rsidR="002F7547" w:rsidRDefault="00A750FA" w:rsidP="00EF6F4B">
      <w:pPr>
        <w:spacing w:line="360" w:lineRule="auto"/>
      </w:pPr>
      <w:r>
        <w:t xml:space="preserve">Le manifestazioni cliniche si differenziano in </w:t>
      </w:r>
      <w:r w:rsidR="002F7547" w:rsidRPr="002F7547">
        <w:t xml:space="preserve">età scolare. Questi bambini presentano </w:t>
      </w:r>
      <w:r w:rsidR="002F7547" w:rsidRPr="00A750FA">
        <w:rPr>
          <w:b/>
        </w:rPr>
        <w:t>sintomi intestinali atipici</w:t>
      </w:r>
      <w:r w:rsidR="002F7547" w:rsidRPr="002F7547">
        <w:t>, come dolori addominal</w:t>
      </w:r>
      <w:r>
        <w:t>i ricorrenti, stipsi op</w:t>
      </w:r>
      <w:r w:rsidR="002F7547" w:rsidRPr="002F7547">
        <w:t xml:space="preserve">pure </w:t>
      </w:r>
      <w:r w:rsidR="002F7547" w:rsidRPr="00A750FA">
        <w:rPr>
          <w:b/>
        </w:rPr>
        <w:t>sintomi ex</w:t>
      </w:r>
      <w:r w:rsidRPr="00A750FA">
        <w:rPr>
          <w:b/>
        </w:rPr>
        <w:t>traintestinali</w:t>
      </w:r>
      <w:r>
        <w:t>, come bassa sta</w:t>
      </w:r>
      <w:r w:rsidR="002F7547" w:rsidRPr="002F7547">
        <w:t xml:space="preserve">tura, ritardo puberale, anemia </w:t>
      </w:r>
      <w:proofErr w:type="spellStart"/>
      <w:r w:rsidR="002F7547" w:rsidRPr="002F7547">
        <w:t>sideropenica</w:t>
      </w:r>
      <w:proofErr w:type="spellEnd"/>
      <w:r w:rsidR="002F7547" w:rsidRPr="002F7547">
        <w:t>, alopecia, stomatite aftosa, osteoporosi, difetti dello smalto dentario, miocardite autoimmune, aumento delle transaminasi. Forme lievi, ma in alcuni casi rari gravi, di anomalie epatiche sono presenti ne</w:t>
      </w:r>
      <w:r>
        <w:t>lla celiachia, come l’</w:t>
      </w:r>
      <w:proofErr w:type="spellStart"/>
      <w:r>
        <w:t>ipertran</w:t>
      </w:r>
      <w:r w:rsidR="002F7547" w:rsidRPr="002F7547">
        <w:t>saminasemia</w:t>
      </w:r>
      <w:proofErr w:type="spellEnd"/>
      <w:r w:rsidR="002F7547" w:rsidRPr="002F7547">
        <w:t xml:space="preserve"> isolata, che migliora con la dieta senza glutine. Altre forme di coinvolgimento epatico quali l’epatite autoimmune, la cirrosi biliare primaria e la colangite sclerosante, si inscrivono nel capitolo dell’associazione della celiachia con malattie autoimmuni.</w:t>
      </w:r>
    </w:p>
    <w:p w:rsidR="00A750FA" w:rsidRDefault="002F7547" w:rsidP="00EF6F4B">
      <w:pPr>
        <w:spacing w:line="360" w:lineRule="auto"/>
      </w:pPr>
      <w:r w:rsidRPr="002F7547">
        <w:t xml:space="preserve">Un ampio </w:t>
      </w:r>
      <w:proofErr w:type="spellStart"/>
      <w:r w:rsidRPr="002F7547">
        <w:t>range</w:t>
      </w:r>
      <w:proofErr w:type="spellEnd"/>
      <w:r w:rsidRPr="002F7547">
        <w:t xml:space="preserve"> di </w:t>
      </w:r>
      <w:r w:rsidR="00A750FA" w:rsidRPr="00EF6F4B">
        <w:rPr>
          <w:b/>
        </w:rPr>
        <w:t>disturbi neurologici e psichia</w:t>
      </w:r>
      <w:r w:rsidRPr="00EF6F4B">
        <w:rPr>
          <w:b/>
        </w:rPr>
        <w:t>tr</w:t>
      </w:r>
      <w:r w:rsidR="00A750FA" w:rsidRPr="00EF6F4B">
        <w:rPr>
          <w:b/>
        </w:rPr>
        <w:t>ici</w:t>
      </w:r>
      <w:r w:rsidR="00A750FA">
        <w:t xml:space="preserve">, quali epilessia con </w:t>
      </w:r>
      <w:proofErr w:type="spellStart"/>
      <w:r w:rsidR="00A750FA">
        <w:t>calciﬁcazioni</w:t>
      </w:r>
      <w:proofErr w:type="spellEnd"/>
      <w:r w:rsidR="00A750FA">
        <w:t xml:space="preserve"> occipi</w:t>
      </w:r>
      <w:r w:rsidRPr="002F7547">
        <w:t>tali, atassia, ipotonia, ritardo mentale, d</w:t>
      </w:r>
      <w:r w:rsidR="00A750FA">
        <w:t xml:space="preserve">isturbi dell’apprendimento, </w:t>
      </w:r>
      <w:proofErr w:type="spellStart"/>
      <w:r w:rsidR="00A750FA">
        <w:t>deﬁcit</w:t>
      </w:r>
      <w:proofErr w:type="spellEnd"/>
      <w:r w:rsidR="00A750FA">
        <w:t xml:space="preserve"> di attenzione, emi</w:t>
      </w:r>
      <w:r w:rsidRPr="002F7547">
        <w:t>crania è stato descritto in associazione con l</w:t>
      </w:r>
      <w:r w:rsidR="00A750FA">
        <w:t xml:space="preserve">a celiachia in età pediatrica </w:t>
      </w:r>
      <w:r w:rsidRPr="002F7547">
        <w:t>(per quel che riguarda l’autismo, sebbene spesso proposta, non è mai stata dimostrata l’associazione tra</w:t>
      </w:r>
      <w:r w:rsidR="00A750FA">
        <w:t xml:space="preserve"> celiachia e forme autistiche).</w:t>
      </w:r>
    </w:p>
    <w:p w:rsidR="00A750FA" w:rsidRDefault="00A750FA" w:rsidP="00EF6F4B">
      <w:pPr>
        <w:spacing w:line="360" w:lineRule="auto"/>
      </w:pPr>
      <w:r>
        <w:t xml:space="preserve">La </w:t>
      </w:r>
      <w:r w:rsidRPr="00EF6F4B">
        <w:rPr>
          <w:b/>
        </w:rPr>
        <w:t>dermatite erpe</w:t>
      </w:r>
      <w:r w:rsidR="002F7547" w:rsidRPr="00EF6F4B">
        <w:rPr>
          <w:b/>
        </w:rPr>
        <w:t>tiforme</w:t>
      </w:r>
      <w:r w:rsidR="002F7547" w:rsidRPr="002F7547">
        <w:t>, una malattia vescicolare della pelle, è una variante clinica dell</w:t>
      </w:r>
      <w:r>
        <w:t xml:space="preserve">a celiachia, la cui incidenza </w:t>
      </w:r>
      <w:r w:rsidR="002F7547" w:rsidRPr="002F7547">
        <w:t>in età pediatrica è intorno all’1% delle diagnosi di celiachia.</w:t>
      </w:r>
    </w:p>
    <w:p w:rsidR="00D335AE" w:rsidRPr="00A750FA" w:rsidRDefault="00D335AE" w:rsidP="00EF6F4B">
      <w:pPr>
        <w:spacing w:line="360" w:lineRule="auto"/>
      </w:pPr>
      <w:r w:rsidRPr="00D335AE">
        <w:t xml:space="preserve">La </w:t>
      </w:r>
      <w:r w:rsidRPr="002F7547">
        <w:rPr>
          <w:b/>
        </w:rPr>
        <w:t>celiachia</w:t>
      </w:r>
      <w:r w:rsidR="002F7547">
        <w:t xml:space="preserve"> è </w:t>
      </w:r>
      <w:proofErr w:type="spellStart"/>
      <w:r w:rsidR="002F7547">
        <w:t>deﬁ</w:t>
      </w:r>
      <w:r w:rsidRPr="00D335AE">
        <w:t>nita</w:t>
      </w:r>
      <w:proofErr w:type="spellEnd"/>
      <w:r w:rsidRPr="002F7547">
        <w:rPr>
          <w:b/>
        </w:rPr>
        <w:t xml:space="preserve"> silente</w:t>
      </w:r>
      <w:r w:rsidRPr="00D335AE">
        <w:t xml:space="preserve"> quando la tipica enteropatia glutine-sensibile viene riscontrata in pazie</w:t>
      </w:r>
      <w:r w:rsidR="002F7547">
        <w:t xml:space="preserve">nti apparentemente sani </w:t>
      </w:r>
      <w:proofErr w:type="spellStart"/>
      <w:r w:rsidR="002F7547">
        <w:t>identiﬁ</w:t>
      </w:r>
      <w:r w:rsidRPr="00D335AE">
        <w:t>cati</w:t>
      </w:r>
      <w:proofErr w:type="spellEnd"/>
      <w:r w:rsidRPr="00D335AE">
        <w:t xml:space="preserve"> come celiaci perché a</w:t>
      </w:r>
      <w:r w:rsidR="002F7547">
        <w:t>ppartenenti soprattutto a grup</w:t>
      </w:r>
      <w:r w:rsidRPr="00D335AE">
        <w:t>pi a rischio</w:t>
      </w:r>
      <w:r w:rsidR="001500F3">
        <w:t xml:space="preserve"> (vedi Tabella 1)</w:t>
      </w:r>
      <w:r w:rsidRPr="00D335AE">
        <w:t xml:space="preserve"> per questa malattia, come i parenti di p</w:t>
      </w:r>
      <w:r w:rsidR="002F7547">
        <w:t>rimo grado di pazienti celiaci o i pazienti affetti da altre malattie autoimmuni, o isolati dalla popola</w:t>
      </w:r>
      <w:r w:rsidRPr="00D335AE">
        <w:t>zione generale dopo program</w:t>
      </w:r>
      <w:r w:rsidR="002F7547">
        <w:t>mi di screening di massa</w:t>
      </w:r>
      <w:r w:rsidRPr="00D335AE">
        <w:t>. Effettuando, tuttavia, una valutazione clinica più approfondita, molti di questi pazienti silenti dimostrano di a</w:t>
      </w:r>
      <w:r w:rsidR="00A750FA">
        <w:t xml:space="preserve">vere una malattia poco evidente, </w:t>
      </w:r>
      <w:r w:rsidRPr="00D335AE">
        <w:t>spesso associata con una ridotto stato di benessere generale.</w:t>
      </w:r>
      <w:r w:rsidR="001500F3">
        <w:t xml:space="preserve"> </w:t>
      </w:r>
      <w:r w:rsidR="001500F3" w:rsidRPr="00A750FA">
        <w:rPr>
          <w:b/>
        </w:rPr>
        <w:t>Nella celiachia silente sono presenti le stesse alterazioni sierologiche ed istologiche dei casi tipici.</w:t>
      </w:r>
    </w:p>
    <w:p w:rsidR="002F7547" w:rsidRDefault="002F7547" w:rsidP="00EF6F4B">
      <w:pPr>
        <w:spacing w:line="360" w:lineRule="auto"/>
      </w:pPr>
      <w:r w:rsidRPr="002F7547">
        <w:t xml:space="preserve">Una </w:t>
      </w:r>
      <w:r w:rsidRPr="002F7547">
        <w:rPr>
          <w:b/>
        </w:rPr>
        <w:t>forma potenziale</w:t>
      </w:r>
      <w:r w:rsidRPr="002F7547">
        <w:t xml:space="preserve"> di celiachia, inoltre, può essere diagnost</w:t>
      </w:r>
      <w:r>
        <w:t>icata in quei pazienti che pre</w:t>
      </w:r>
      <w:r w:rsidRPr="002F7547">
        <w:t>sentano una posit</w:t>
      </w:r>
      <w:r>
        <w:t xml:space="preserve">ività degli anticorpi </w:t>
      </w:r>
      <w:proofErr w:type="spellStart"/>
      <w:r>
        <w:t>anti-endomisio</w:t>
      </w:r>
      <w:proofErr w:type="spellEnd"/>
      <w:r>
        <w:t xml:space="preserve"> (EMA) o </w:t>
      </w:r>
      <w:proofErr w:type="spellStart"/>
      <w:r>
        <w:t>anti-transglutaminasi</w:t>
      </w:r>
      <w:proofErr w:type="spellEnd"/>
      <w:r>
        <w:t xml:space="preserve"> tissutale umana (TGA), la tipica predisposizione genetica, </w:t>
      </w:r>
      <w:proofErr w:type="spellStart"/>
      <w:r>
        <w:t>aplotipi</w:t>
      </w:r>
      <w:proofErr w:type="spellEnd"/>
      <w:r>
        <w:t xml:space="preserve"> HLA DQ2 e/o DQ8, ma una mucosa intestinale con architettura normale. La gestione di questa categoria di pazienti, spesso asintomatici e appartenente anch’essi a categorie a rischio (familiari di primo grado o pazienti con patologie autoimmunitarie) è estremamente delicata. Non </w:t>
      </w:r>
      <w:r>
        <w:lastRenderedPageBreak/>
        <w:t>c’è infatti accordo sulla necessità di una dieta senza glutine, ma si tratta comunque di pazienti che nel tempo potrebbero sviluppare una forma classica di enteropatia glutine-sensibile o complicanze legate alla celiachia. Infatti, le nostre</w:t>
      </w:r>
      <w:r w:rsidR="00EF6F4B">
        <w:t xml:space="preserve"> conoscenze sulla storia natural</w:t>
      </w:r>
      <w:r>
        <w:t xml:space="preserve">e della celiachia sono ancora molto limitate. Sappiamo per certo che i soggetti che alla diagnosi presentano evidenti segni di enteropatia migliorano e dal punto di vista clinico e da quello istologico dopo pochi mesi di dieta senza glutine, mentre </w:t>
      </w:r>
      <w:r w:rsidRPr="00EF6F4B">
        <w:rPr>
          <w:b/>
        </w:rPr>
        <w:t>non ci sono chiare evidenze della necessità di una dieta di esclusione per quei pazienti con sola sierologia positiva che alla diagnosi non presentano segni di una chiara enteropatia</w:t>
      </w:r>
      <w:r>
        <w:t>.</w:t>
      </w:r>
    </w:p>
    <w:p w:rsidR="00EF6F4B" w:rsidRDefault="00EF6F4B" w:rsidP="00A750FA"/>
    <w:p w:rsidR="001500F3" w:rsidRPr="001500F3" w:rsidRDefault="001500F3" w:rsidP="00A750FA">
      <w:pPr>
        <w:rPr>
          <w:b/>
          <w:sz w:val="18"/>
          <w:szCs w:val="18"/>
        </w:rPr>
      </w:pPr>
      <w:r>
        <w:rPr>
          <w:b/>
          <w:sz w:val="18"/>
          <w:szCs w:val="18"/>
        </w:rPr>
        <w:t xml:space="preserve">Tabella1 </w:t>
      </w:r>
      <w:r w:rsidRPr="001500F3">
        <w:rPr>
          <w:b/>
          <w:sz w:val="18"/>
          <w:szCs w:val="18"/>
        </w:rPr>
        <w:t>Situazioni nelle quali è indicato una valutazione sierologica per la celiachia</w:t>
      </w:r>
    </w:p>
    <w:tbl>
      <w:tblPr>
        <w:tblStyle w:val="Grigliatabella"/>
        <w:tblW w:w="0" w:type="auto"/>
        <w:tblLook w:val="04A0"/>
      </w:tblPr>
      <w:tblGrid>
        <w:gridCol w:w="4889"/>
        <w:gridCol w:w="4889"/>
      </w:tblGrid>
      <w:tr w:rsidR="001500F3" w:rsidTr="001500F3">
        <w:tc>
          <w:tcPr>
            <w:tcW w:w="4889" w:type="dxa"/>
          </w:tcPr>
          <w:p w:rsidR="001500F3" w:rsidRPr="004F6243" w:rsidRDefault="00947A0E" w:rsidP="00A750FA">
            <w:pPr>
              <w:spacing w:after="200"/>
              <w:jc w:val="center"/>
              <w:rPr>
                <w:b/>
              </w:rPr>
            </w:pPr>
            <w:r>
              <w:rPr>
                <w:b/>
              </w:rPr>
              <w:t>Condizioni associate</w:t>
            </w:r>
          </w:p>
        </w:tc>
        <w:tc>
          <w:tcPr>
            <w:tcW w:w="4889" w:type="dxa"/>
          </w:tcPr>
          <w:p w:rsidR="001500F3" w:rsidRPr="004F6243" w:rsidRDefault="00947A0E" w:rsidP="00A750FA">
            <w:pPr>
              <w:spacing w:after="200"/>
              <w:jc w:val="center"/>
              <w:rPr>
                <w:b/>
              </w:rPr>
            </w:pPr>
            <w:r>
              <w:rPr>
                <w:b/>
              </w:rPr>
              <w:t>Malattie con aumentata incidenza di celiachia</w:t>
            </w:r>
          </w:p>
        </w:tc>
      </w:tr>
      <w:tr w:rsidR="00947A0E" w:rsidTr="001500F3">
        <w:tc>
          <w:tcPr>
            <w:tcW w:w="4889" w:type="dxa"/>
          </w:tcPr>
          <w:p w:rsidR="00947A0E" w:rsidRPr="001500F3" w:rsidRDefault="00947A0E" w:rsidP="00A750FA">
            <w:pPr>
              <w:spacing w:after="200"/>
            </w:pPr>
            <w:r>
              <w:t>Parenti di primo grado</w:t>
            </w:r>
          </w:p>
        </w:tc>
        <w:tc>
          <w:tcPr>
            <w:tcW w:w="4889" w:type="dxa"/>
          </w:tcPr>
          <w:p w:rsidR="00947A0E" w:rsidRDefault="00947A0E" w:rsidP="00A750FA">
            <w:pPr>
              <w:spacing w:after="200"/>
            </w:pPr>
            <w:r w:rsidRPr="001500F3">
              <w:t>Patologie autoimmuni associat</w:t>
            </w:r>
            <w:r>
              <w:t xml:space="preserve">e (soprattutto diabete tipo 1, </w:t>
            </w:r>
            <w:r w:rsidRPr="001500F3">
              <w:t>tiroidite</w:t>
            </w:r>
            <w:r>
              <w:t xml:space="preserve"> autoimmune e epatopatie autoimmuni)</w:t>
            </w:r>
          </w:p>
        </w:tc>
      </w:tr>
      <w:tr w:rsidR="00947A0E" w:rsidTr="001500F3">
        <w:tc>
          <w:tcPr>
            <w:tcW w:w="4889" w:type="dxa"/>
          </w:tcPr>
          <w:p w:rsidR="00947A0E" w:rsidRDefault="00947A0E" w:rsidP="00A750FA">
            <w:pPr>
              <w:spacing w:after="200"/>
            </w:pPr>
            <w:r w:rsidRPr="001500F3">
              <w:t>Disturbi intestinali cronici (dolore addominale, stipsi, diarrea, meteorismo)</w:t>
            </w:r>
          </w:p>
        </w:tc>
        <w:tc>
          <w:tcPr>
            <w:tcW w:w="4889" w:type="dxa"/>
          </w:tcPr>
          <w:p w:rsidR="00947A0E" w:rsidRDefault="00947A0E" w:rsidP="00A750FA">
            <w:pPr>
              <w:spacing w:after="200"/>
            </w:pPr>
            <w:r w:rsidRPr="001500F3">
              <w:t>s. di Down</w:t>
            </w:r>
          </w:p>
        </w:tc>
      </w:tr>
      <w:tr w:rsidR="00111C14" w:rsidTr="001500F3">
        <w:tc>
          <w:tcPr>
            <w:tcW w:w="4889" w:type="dxa"/>
          </w:tcPr>
          <w:p w:rsidR="00111C14" w:rsidRPr="001500F3" w:rsidRDefault="00111C14" w:rsidP="00A750FA">
            <w:pPr>
              <w:spacing w:after="200"/>
            </w:pPr>
            <w:r>
              <w:t>Sindrome del colon irritabile</w:t>
            </w:r>
          </w:p>
        </w:tc>
        <w:tc>
          <w:tcPr>
            <w:tcW w:w="4889" w:type="dxa"/>
          </w:tcPr>
          <w:p w:rsidR="00111C14" w:rsidRPr="001500F3" w:rsidRDefault="00EF6F4B" w:rsidP="00A750FA">
            <w:pPr>
              <w:spacing w:after="200"/>
            </w:pPr>
            <w:r>
              <w:t>s. di Williams</w:t>
            </w:r>
          </w:p>
        </w:tc>
      </w:tr>
      <w:tr w:rsidR="00947A0E" w:rsidTr="00EF6F4B">
        <w:tc>
          <w:tcPr>
            <w:tcW w:w="4889" w:type="dxa"/>
          </w:tcPr>
          <w:p w:rsidR="00947A0E" w:rsidRDefault="00947A0E" w:rsidP="00A750FA">
            <w:pPr>
              <w:spacing w:after="200"/>
            </w:pPr>
            <w:r w:rsidRPr="001500F3">
              <w:t>Stomatite aftosa ricorrente</w:t>
            </w:r>
          </w:p>
        </w:tc>
        <w:tc>
          <w:tcPr>
            <w:tcW w:w="4889" w:type="dxa"/>
            <w:tcBorders>
              <w:bottom w:val="single" w:sz="4" w:space="0" w:color="auto"/>
            </w:tcBorders>
          </w:tcPr>
          <w:p w:rsidR="00947A0E" w:rsidRDefault="00947A0E" w:rsidP="00A750FA">
            <w:pPr>
              <w:spacing w:after="200"/>
            </w:pPr>
            <w:r>
              <w:t>s. di Turner</w:t>
            </w:r>
          </w:p>
        </w:tc>
      </w:tr>
      <w:tr w:rsidR="00947A0E" w:rsidTr="00EF6F4B">
        <w:tc>
          <w:tcPr>
            <w:tcW w:w="4889" w:type="dxa"/>
          </w:tcPr>
          <w:p w:rsidR="00947A0E" w:rsidRDefault="00947A0E" w:rsidP="00A750FA">
            <w:pPr>
              <w:spacing w:after="200"/>
            </w:pPr>
            <w:r w:rsidRPr="001500F3">
              <w:t xml:space="preserve">Deficit selettivo </w:t>
            </w:r>
            <w:proofErr w:type="spellStart"/>
            <w:r w:rsidRPr="001500F3">
              <w:t>IgA</w:t>
            </w:r>
            <w:proofErr w:type="spellEnd"/>
            <w:r w:rsidRPr="001500F3">
              <w:t xml:space="preserve"> </w:t>
            </w:r>
            <w:proofErr w:type="spellStart"/>
            <w:r w:rsidRPr="001500F3">
              <w:t>sieriche</w:t>
            </w:r>
            <w:proofErr w:type="spellEnd"/>
          </w:p>
        </w:tc>
        <w:tc>
          <w:tcPr>
            <w:tcW w:w="4889" w:type="dxa"/>
            <w:tcBorders>
              <w:bottom w:val="nil"/>
              <w:right w:val="nil"/>
            </w:tcBorders>
          </w:tcPr>
          <w:p w:rsidR="00947A0E" w:rsidRDefault="00947A0E" w:rsidP="00EF6F4B">
            <w:pPr>
              <w:spacing w:after="200"/>
            </w:pPr>
          </w:p>
        </w:tc>
      </w:tr>
      <w:tr w:rsidR="00947A0E" w:rsidTr="00EF6F4B">
        <w:tc>
          <w:tcPr>
            <w:tcW w:w="4889" w:type="dxa"/>
            <w:tcBorders>
              <w:right w:val="single" w:sz="4" w:space="0" w:color="auto"/>
            </w:tcBorders>
          </w:tcPr>
          <w:p w:rsidR="00947A0E" w:rsidRDefault="00947A0E" w:rsidP="00A750FA">
            <w:pPr>
              <w:spacing w:after="200"/>
            </w:pPr>
            <w:r>
              <w:t>Rachitismo</w:t>
            </w:r>
          </w:p>
        </w:tc>
        <w:tc>
          <w:tcPr>
            <w:tcW w:w="4889" w:type="dxa"/>
            <w:tcBorders>
              <w:top w:val="nil"/>
              <w:left w:val="single" w:sz="4" w:space="0" w:color="auto"/>
              <w:bottom w:val="nil"/>
              <w:right w:val="nil"/>
            </w:tcBorders>
          </w:tcPr>
          <w:p w:rsidR="00947A0E" w:rsidRDefault="00947A0E" w:rsidP="00A750FA">
            <w:pPr>
              <w:spacing w:after="200"/>
            </w:pPr>
          </w:p>
        </w:tc>
      </w:tr>
      <w:tr w:rsidR="00947A0E" w:rsidTr="004F6243">
        <w:tc>
          <w:tcPr>
            <w:tcW w:w="4889" w:type="dxa"/>
            <w:tcBorders>
              <w:right w:val="single" w:sz="4" w:space="0" w:color="auto"/>
            </w:tcBorders>
          </w:tcPr>
          <w:p w:rsidR="00947A0E" w:rsidRDefault="00947A0E" w:rsidP="00A750FA">
            <w:pPr>
              <w:spacing w:after="200"/>
            </w:pPr>
            <w:proofErr w:type="spellStart"/>
            <w:r>
              <w:t>Osteopenia</w:t>
            </w:r>
            <w:proofErr w:type="spellEnd"/>
          </w:p>
        </w:tc>
        <w:tc>
          <w:tcPr>
            <w:tcW w:w="4889" w:type="dxa"/>
            <w:tcBorders>
              <w:top w:val="nil"/>
              <w:left w:val="single" w:sz="4" w:space="0" w:color="auto"/>
              <w:bottom w:val="nil"/>
              <w:right w:val="nil"/>
            </w:tcBorders>
          </w:tcPr>
          <w:p w:rsidR="00947A0E" w:rsidRDefault="00947A0E" w:rsidP="00A750FA">
            <w:pPr>
              <w:spacing w:after="200"/>
            </w:pPr>
          </w:p>
        </w:tc>
      </w:tr>
      <w:tr w:rsidR="00947A0E" w:rsidTr="004F6243">
        <w:tc>
          <w:tcPr>
            <w:tcW w:w="4889" w:type="dxa"/>
            <w:tcBorders>
              <w:right w:val="single" w:sz="4" w:space="0" w:color="auto"/>
            </w:tcBorders>
          </w:tcPr>
          <w:p w:rsidR="00947A0E" w:rsidRDefault="00947A0E" w:rsidP="00A750FA">
            <w:pPr>
              <w:spacing w:after="200"/>
            </w:pPr>
            <w:r>
              <w:t xml:space="preserve">s. di </w:t>
            </w:r>
            <w:proofErr w:type="spellStart"/>
            <w:r>
              <w:t>Sjogren</w:t>
            </w:r>
            <w:proofErr w:type="spellEnd"/>
          </w:p>
        </w:tc>
        <w:tc>
          <w:tcPr>
            <w:tcW w:w="4889" w:type="dxa"/>
            <w:tcBorders>
              <w:top w:val="nil"/>
              <w:left w:val="single" w:sz="4" w:space="0" w:color="auto"/>
              <w:bottom w:val="nil"/>
              <w:right w:val="nil"/>
            </w:tcBorders>
          </w:tcPr>
          <w:p w:rsidR="00947A0E" w:rsidRDefault="00947A0E" w:rsidP="00A750FA">
            <w:pPr>
              <w:spacing w:after="200"/>
            </w:pPr>
          </w:p>
        </w:tc>
      </w:tr>
      <w:tr w:rsidR="00947A0E" w:rsidTr="004F6243">
        <w:tc>
          <w:tcPr>
            <w:tcW w:w="4889" w:type="dxa"/>
            <w:tcBorders>
              <w:right w:val="single" w:sz="4" w:space="0" w:color="auto"/>
            </w:tcBorders>
          </w:tcPr>
          <w:p w:rsidR="00947A0E" w:rsidRDefault="00947A0E" w:rsidP="00A750FA">
            <w:pPr>
              <w:spacing w:after="200"/>
            </w:pPr>
            <w:r w:rsidRPr="001500F3">
              <w:t>Dermatite erpetiforme</w:t>
            </w:r>
          </w:p>
        </w:tc>
        <w:tc>
          <w:tcPr>
            <w:tcW w:w="4889" w:type="dxa"/>
            <w:tcBorders>
              <w:top w:val="nil"/>
              <w:left w:val="single" w:sz="4" w:space="0" w:color="auto"/>
              <w:bottom w:val="nil"/>
              <w:right w:val="nil"/>
            </w:tcBorders>
          </w:tcPr>
          <w:p w:rsidR="00947A0E" w:rsidRDefault="00947A0E" w:rsidP="00A750FA">
            <w:pPr>
              <w:spacing w:after="200"/>
            </w:pPr>
          </w:p>
        </w:tc>
      </w:tr>
      <w:tr w:rsidR="00947A0E" w:rsidTr="004F6243">
        <w:tc>
          <w:tcPr>
            <w:tcW w:w="4889" w:type="dxa"/>
            <w:tcBorders>
              <w:right w:val="single" w:sz="4" w:space="0" w:color="auto"/>
            </w:tcBorders>
          </w:tcPr>
          <w:p w:rsidR="00947A0E" w:rsidRPr="001500F3" w:rsidRDefault="00947A0E" w:rsidP="00A750FA">
            <w:pPr>
              <w:spacing w:after="200"/>
            </w:pPr>
            <w:r>
              <w:t>Alopecia</w:t>
            </w:r>
          </w:p>
        </w:tc>
        <w:tc>
          <w:tcPr>
            <w:tcW w:w="4889" w:type="dxa"/>
            <w:tcBorders>
              <w:top w:val="nil"/>
              <w:left w:val="single" w:sz="4" w:space="0" w:color="auto"/>
              <w:bottom w:val="nil"/>
              <w:right w:val="nil"/>
            </w:tcBorders>
          </w:tcPr>
          <w:p w:rsidR="00947A0E" w:rsidRDefault="00947A0E" w:rsidP="00A750FA">
            <w:pPr>
              <w:spacing w:after="200"/>
            </w:pPr>
          </w:p>
        </w:tc>
      </w:tr>
      <w:tr w:rsidR="00947A0E" w:rsidTr="004F6243">
        <w:tc>
          <w:tcPr>
            <w:tcW w:w="4889" w:type="dxa"/>
            <w:tcBorders>
              <w:right w:val="single" w:sz="4" w:space="0" w:color="auto"/>
            </w:tcBorders>
          </w:tcPr>
          <w:p w:rsidR="00947A0E" w:rsidRPr="001500F3" w:rsidRDefault="00947A0E" w:rsidP="00A750FA">
            <w:pPr>
              <w:spacing w:after="200"/>
            </w:pPr>
            <w:r w:rsidRPr="001500F3">
              <w:t xml:space="preserve">Anomalie dello sviluppo puberale  </w:t>
            </w:r>
          </w:p>
        </w:tc>
        <w:tc>
          <w:tcPr>
            <w:tcW w:w="4889" w:type="dxa"/>
            <w:tcBorders>
              <w:top w:val="nil"/>
              <w:left w:val="single" w:sz="4" w:space="0" w:color="auto"/>
              <w:bottom w:val="nil"/>
              <w:right w:val="nil"/>
            </w:tcBorders>
          </w:tcPr>
          <w:p w:rsidR="00947A0E" w:rsidRDefault="00947A0E" w:rsidP="00A750FA">
            <w:pPr>
              <w:spacing w:after="200"/>
            </w:pPr>
          </w:p>
        </w:tc>
      </w:tr>
      <w:tr w:rsidR="00947A0E" w:rsidTr="004F6243">
        <w:tc>
          <w:tcPr>
            <w:tcW w:w="4889" w:type="dxa"/>
            <w:tcBorders>
              <w:right w:val="single" w:sz="4" w:space="0" w:color="auto"/>
            </w:tcBorders>
          </w:tcPr>
          <w:p w:rsidR="00947A0E" w:rsidRPr="001500F3" w:rsidRDefault="00947A0E" w:rsidP="00A750FA">
            <w:pPr>
              <w:spacing w:after="200"/>
            </w:pPr>
            <w:r w:rsidRPr="001500F3">
              <w:t xml:space="preserve">Orticaria ricorrente  </w:t>
            </w:r>
          </w:p>
        </w:tc>
        <w:tc>
          <w:tcPr>
            <w:tcW w:w="4889" w:type="dxa"/>
            <w:tcBorders>
              <w:top w:val="nil"/>
              <w:left w:val="single" w:sz="4" w:space="0" w:color="auto"/>
              <w:bottom w:val="nil"/>
              <w:right w:val="nil"/>
            </w:tcBorders>
          </w:tcPr>
          <w:p w:rsidR="00947A0E" w:rsidRDefault="00947A0E" w:rsidP="00A750FA">
            <w:pPr>
              <w:spacing w:after="200"/>
            </w:pPr>
          </w:p>
        </w:tc>
      </w:tr>
      <w:tr w:rsidR="00947A0E" w:rsidTr="004F6243">
        <w:tc>
          <w:tcPr>
            <w:tcW w:w="4889" w:type="dxa"/>
            <w:tcBorders>
              <w:right w:val="single" w:sz="4" w:space="0" w:color="auto"/>
            </w:tcBorders>
          </w:tcPr>
          <w:p w:rsidR="00947A0E" w:rsidRPr="001500F3" w:rsidRDefault="00947A0E" w:rsidP="00A750FA">
            <w:pPr>
              <w:spacing w:after="200"/>
            </w:pPr>
            <w:r w:rsidRPr="001500F3">
              <w:t>Disturbi della fertilità (</w:t>
            </w:r>
            <w:proofErr w:type="spellStart"/>
            <w:r w:rsidRPr="001500F3">
              <w:t>abortività</w:t>
            </w:r>
            <w:proofErr w:type="spellEnd"/>
            <w:r w:rsidRPr="001500F3">
              <w:t xml:space="preserve"> spontanea, menarca tardivo, menopausa precoce, infertilità)</w:t>
            </w:r>
          </w:p>
        </w:tc>
        <w:tc>
          <w:tcPr>
            <w:tcW w:w="4889" w:type="dxa"/>
            <w:tcBorders>
              <w:top w:val="nil"/>
              <w:left w:val="single" w:sz="4" w:space="0" w:color="auto"/>
              <w:bottom w:val="nil"/>
              <w:right w:val="nil"/>
            </w:tcBorders>
          </w:tcPr>
          <w:p w:rsidR="00947A0E" w:rsidRDefault="00947A0E" w:rsidP="00A750FA">
            <w:pPr>
              <w:spacing w:after="200"/>
            </w:pPr>
          </w:p>
        </w:tc>
      </w:tr>
      <w:tr w:rsidR="00947A0E" w:rsidTr="004F6243">
        <w:tc>
          <w:tcPr>
            <w:tcW w:w="4889" w:type="dxa"/>
            <w:tcBorders>
              <w:right w:val="single" w:sz="4" w:space="0" w:color="auto"/>
            </w:tcBorders>
          </w:tcPr>
          <w:p w:rsidR="00947A0E" w:rsidRPr="001500F3" w:rsidRDefault="00947A0E" w:rsidP="00A750FA">
            <w:pPr>
              <w:spacing w:after="200"/>
            </w:pPr>
            <w:r w:rsidRPr="001500F3">
              <w:t xml:space="preserve">Epilessia con calcificazioni endocraniche ed altre patologie neurologiche (atassia, polineurite, </w:t>
            </w:r>
            <w:proofErr w:type="spellStart"/>
            <w:r w:rsidRPr="001500F3">
              <w:t>etc</w:t>
            </w:r>
            <w:proofErr w:type="spellEnd"/>
            <w:r w:rsidRPr="001500F3">
              <w:t>)</w:t>
            </w:r>
          </w:p>
        </w:tc>
        <w:tc>
          <w:tcPr>
            <w:tcW w:w="4889" w:type="dxa"/>
            <w:tcBorders>
              <w:top w:val="nil"/>
              <w:left w:val="single" w:sz="4" w:space="0" w:color="auto"/>
              <w:bottom w:val="nil"/>
              <w:right w:val="nil"/>
            </w:tcBorders>
          </w:tcPr>
          <w:p w:rsidR="00947A0E" w:rsidRDefault="00947A0E" w:rsidP="00A750FA">
            <w:pPr>
              <w:spacing w:after="200"/>
            </w:pPr>
          </w:p>
        </w:tc>
      </w:tr>
      <w:tr w:rsidR="00947A0E" w:rsidTr="00EF6F4B">
        <w:trPr>
          <w:trHeight w:val="579"/>
        </w:trPr>
        <w:tc>
          <w:tcPr>
            <w:tcW w:w="4889" w:type="dxa"/>
            <w:tcBorders>
              <w:right w:val="single" w:sz="4" w:space="0" w:color="auto"/>
            </w:tcBorders>
          </w:tcPr>
          <w:p w:rsidR="00947A0E" w:rsidRPr="001500F3" w:rsidRDefault="00947A0E" w:rsidP="00A750FA">
            <w:pPr>
              <w:spacing w:after="200"/>
            </w:pPr>
            <w:r w:rsidRPr="001500F3">
              <w:t>Disturbi del comportamento alimentare (anoressia nervosa)</w:t>
            </w:r>
          </w:p>
        </w:tc>
        <w:tc>
          <w:tcPr>
            <w:tcW w:w="4889" w:type="dxa"/>
            <w:tcBorders>
              <w:top w:val="nil"/>
              <w:left w:val="single" w:sz="4" w:space="0" w:color="auto"/>
              <w:bottom w:val="nil"/>
              <w:right w:val="nil"/>
            </w:tcBorders>
          </w:tcPr>
          <w:p w:rsidR="00947A0E" w:rsidRDefault="00947A0E" w:rsidP="00A750FA">
            <w:pPr>
              <w:spacing w:after="200"/>
            </w:pPr>
          </w:p>
        </w:tc>
      </w:tr>
    </w:tbl>
    <w:p w:rsidR="001500F3" w:rsidRDefault="001500F3" w:rsidP="00A750FA"/>
    <w:p w:rsidR="008A44EE" w:rsidRDefault="008A44EE" w:rsidP="00A750FA">
      <w:pPr>
        <w:rPr>
          <w:b/>
          <w:sz w:val="28"/>
          <w:szCs w:val="28"/>
        </w:rPr>
      </w:pPr>
    </w:p>
    <w:p w:rsidR="004F6243" w:rsidRDefault="004F6243" w:rsidP="00EF6F4B">
      <w:pPr>
        <w:spacing w:line="360" w:lineRule="auto"/>
        <w:rPr>
          <w:b/>
          <w:sz w:val="28"/>
          <w:szCs w:val="28"/>
        </w:rPr>
      </w:pPr>
      <w:r>
        <w:rPr>
          <w:b/>
          <w:sz w:val="28"/>
          <w:szCs w:val="28"/>
        </w:rPr>
        <w:lastRenderedPageBreak/>
        <w:t>MANIFESTAZIONI CLINICHE NELL’ADULTO</w:t>
      </w:r>
    </w:p>
    <w:p w:rsidR="004F6243" w:rsidRDefault="004F6243" w:rsidP="00EF6F4B">
      <w:pPr>
        <w:spacing w:after="0" w:line="360" w:lineRule="auto"/>
      </w:pPr>
      <w:r>
        <w:t xml:space="preserve">Circa un terzo dei pazienti adulti si presenta con </w:t>
      </w:r>
      <w:r w:rsidRPr="002121E6">
        <w:rPr>
          <w:b/>
        </w:rPr>
        <w:t>sintomi tipici</w:t>
      </w:r>
      <w:r>
        <w:t xml:space="preserve">: </w:t>
      </w:r>
      <w:r w:rsidRPr="004F6243">
        <w:t xml:space="preserve">diarrea persistente oltre le 3 settimane, spesso notturna, </w:t>
      </w:r>
      <w:proofErr w:type="spellStart"/>
      <w:r w:rsidRPr="004F6243">
        <w:t>steatorrea</w:t>
      </w:r>
      <w:proofErr w:type="spellEnd"/>
      <w:r w:rsidRPr="004F6243">
        <w:t>, meteorismo, d</w:t>
      </w:r>
      <w:r>
        <w:t>olori addominali, calo pondera</w:t>
      </w:r>
      <w:r w:rsidRPr="004F6243">
        <w:t>le, sintomi/segni di carenze vitaminiche e di oligoelementi quali crampi e/o dolori muscolari e ossei, tetania, edemi</w:t>
      </w:r>
      <w:r w:rsidR="00EF6F4B">
        <w:t xml:space="preserve"> periferici. </w:t>
      </w:r>
      <w:r>
        <w:t xml:space="preserve">Spesso è </w:t>
      </w:r>
      <w:proofErr w:type="spellStart"/>
      <w:r>
        <w:t>identiﬁ</w:t>
      </w:r>
      <w:r w:rsidRPr="004F6243">
        <w:t>cabile</w:t>
      </w:r>
      <w:proofErr w:type="spellEnd"/>
      <w:r w:rsidRPr="004F6243">
        <w:t xml:space="preserve"> un fattore scatenante (parto, viaggio all’estero, intervento chirurgico, situazione di stress).</w:t>
      </w:r>
    </w:p>
    <w:p w:rsidR="004F6243" w:rsidRDefault="004F6243" w:rsidP="00EF6F4B">
      <w:pPr>
        <w:spacing w:line="360" w:lineRule="auto"/>
      </w:pPr>
      <w:r>
        <w:t xml:space="preserve">Solitamente questa categoria di pazienti risponde rapidamente ed </w:t>
      </w:r>
      <w:proofErr w:type="spellStart"/>
      <w:r>
        <w:t>efﬁcace</w:t>
      </w:r>
      <w:r w:rsidRPr="004F6243">
        <w:t>men</w:t>
      </w:r>
      <w:r>
        <w:t>te</w:t>
      </w:r>
      <w:proofErr w:type="spellEnd"/>
      <w:r>
        <w:t xml:space="preserve"> alla dieta priva di glutine; </w:t>
      </w:r>
      <w:r w:rsidRPr="004F6243">
        <w:t>i soggetti di oltre 50 anni con una risposta alla dieta</w:t>
      </w:r>
      <w:r>
        <w:t xml:space="preserve"> non soddisfacente devono esse</w:t>
      </w:r>
      <w:r w:rsidRPr="004F6243">
        <w:t>re accuratamente monitorati nel sospetto di una possibi</w:t>
      </w:r>
      <w:r>
        <w:t>le complicanza (sprue refratta</w:t>
      </w:r>
      <w:r w:rsidRPr="004F6243">
        <w:t>ria, linfoma intestinale).</w:t>
      </w:r>
    </w:p>
    <w:p w:rsidR="002121E6" w:rsidRDefault="004F6243" w:rsidP="00EF6F4B">
      <w:pPr>
        <w:spacing w:line="360" w:lineRule="auto"/>
      </w:pPr>
      <w:r>
        <w:t xml:space="preserve">Spesso la malattia si manifesta però con </w:t>
      </w:r>
      <w:r w:rsidRPr="002121E6">
        <w:rPr>
          <w:b/>
        </w:rPr>
        <w:t>segni e sintomi gastroenterici aspecifici</w:t>
      </w:r>
      <w:r>
        <w:t>, persistenti nel tempo e che non riconoscono un’altra causa individuabile quali</w:t>
      </w:r>
      <w:r w:rsidR="002121E6">
        <w:t xml:space="preserve"> d</w:t>
      </w:r>
      <w:r>
        <w:t>ispepsia</w:t>
      </w:r>
      <w:r w:rsidR="002121E6">
        <w:t xml:space="preserve"> e </w:t>
      </w:r>
      <w:r w:rsidR="002121E6" w:rsidRPr="002121E6">
        <w:t>sintomi tipo intestino irritabile (IBS)</w:t>
      </w:r>
      <w:r w:rsidR="002121E6">
        <w:t xml:space="preserve"> per i quali le linee guida inglesi suggeriscono lo screening sierologico.</w:t>
      </w:r>
    </w:p>
    <w:p w:rsidR="002121E6" w:rsidRDefault="002121E6" w:rsidP="00EF6F4B">
      <w:pPr>
        <w:spacing w:line="360" w:lineRule="auto"/>
      </w:pPr>
      <w:r>
        <w:t xml:space="preserve">Tra i </w:t>
      </w:r>
      <w:r w:rsidRPr="00EF6F4B">
        <w:rPr>
          <w:b/>
        </w:rPr>
        <w:t>segni e i sintomi non gastroenterici</w:t>
      </w:r>
      <w:r>
        <w:t xml:space="preserve"> sono da segnalare:</w:t>
      </w:r>
    </w:p>
    <w:p w:rsidR="002121E6" w:rsidRDefault="002121E6" w:rsidP="00EF6F4B">
      <w:pPr>
        <w:pStyle w:val="Paragrafoelenco"/>
        <w:numPr>
          <w:ilvl w:val="0"/>
          <w:numId w:val="2"/>
        </w:numPr>
        <w:spacing w:line="360" w:lineRule="auto"/>
      </w:pPr>
      <w:r w:rsidRPr="00EF6F4B">
        <w:rPr>
          <w:i/>
        </w:rPr>
        <w:t>Anemia sideropenia</w:t>
      </w:r>
      <w:r>
        <w:t xml:space="preserve"> non rispondente a terapia orale (s</w:t>
      </w:r>
      <w:r w:rsidRPr="002121E6">
        <w:t>icuramente il sintomo extraintest</w:t>
      </w:r>
      <w:r>
        <w:t xml:space="preserve">inale più frequente in assoluto). </w:t>
      </w:r>
      <w:r w:rsidRPr="002121E6">
        <w:t xml:space="preserve">Pertanto </w:t>
      </w:r>
      <w:r>
        <w:t>nell’iter diagnostico dell’ane</w:t>
      </w:r>
      <w:r w:rsidRPr="002121E6">
        <w:t>mia da carenza di ferro, anche nelle donne mes</w:t>
      </w:r>
      <w:r>
        <w:t>truate, il dosaggio degli anti</w:t>
      </w:r>
      <w:r w:rsidRPr="002121E6">
        <w:t xml:space="preserve">corpi </w:t>
      </w:r>
      <w:proofErr w:type="spellStart"/>
      <w:r w:rsidRPr="002121E6">
        <w:t>speciﬁ</w:t>
      </w:r>
      <w:proofErr w:type="spellEnd"/>
      <w:r w:rsidRPr="002121E6">
        <w:t xml:space="preserve"> ci per la celiachia </w:t>
      </w:r>
      <w:r>
        <w:t>dovrebbe rivestire un ruolo primario.</w:t>
      </w:r>
    </w:p>
    <w:p w:rsidR="002121E6" w:rsidRDefault="002121E6" w:rsidP="00EF6F4B">
      <w:pPr>
        <w:pStyle w:val="Paragrafoelenco"/>
        <w:numPr>
          <w:ilvl w:val="0"/>
          <w:numId w:val="2"/>
        </w:numPr>
        <w:spacing w:line="360" w:lineRule="auto"/>
      </w:pPr>
      <w:r w:rsidRPr="00EF6F4B">
        <w:rPr>
          <w:i/>
        </w:rPr>
        <w:t xml:space="preserve">Anemia </w:t>
      </w:r>
      <w:proofErr w:type="spellStart"/>
      <w:r w:rsidRPr="00EF6F4B">
        <w:rPr>
          <w:i/>
        </w:rPr>
        <w:t>macrocitica</w:t>
      </w:r>
      <w:proofErr w:type="spellEnd"/>
      <w:r>
        <w:t xml:space="preserve">, </w:t>
      </w:r>
      <w:r w:rsidRPr="002121E6">
        <w:t>da carenza di ac</w:t>
      </w:r>
      <w:r>
        <w:t>ido folico o di vitamina B12.</w:t>
      </w:r>
    </w:p>
    <w:p w:rsidR="002121E6" w:rsidRDefault="002121E6" w:rsidP="00EF6F4B">
      <w:pPr>
        <w:pStyle w:val="Paragrafoelenco"/>
        <w:numPr>
          <w:ilvl w:val="0"/>
          <w:numId w:val="2"/>
        </w:numPr>
        <w:spacing w:line="360" w:lineRule="auto"/>
      </w:pPr>
      <w:proofErr w:type="spellStart"/>
      <w:r w:rsidRPr="00EF6F4B">
        <w:rPr>
          <w:i/>
        </w:rPr>
        <w:t>Ipertransaminasemia</w:t>
      </w:r>
      <w:proofErr w:type="spellEnd"/>
      <w:r>
        <w:t xml:space="preserve">, </w:t>
      </w:r>
      <w:r w:rsidRPr="002121E6">
        <w:t xml:space="preserve">nei soggetti con </w:t>
      </w:r>
      <w:proofErr w:type="spellStart"/>
      <w:r w:rsidRPr="002121E6">
        <w:t>ipertransaminasemia</w:t>
      </w:r>
      <w:proofErr w:type="spellEnd"/>
      <w:r w:rsidRPr="002121E6">
        <w:t xml:space="preserve"> non virus o alcool correlata</w:t>
      </w:r>
      <w:r>
        <w:t xml:space="preserve"> </w:t>
      </w:r>
      <w:r w:rsidRPr="002121E6">
        <w:t xml:space="preserve">(in Italia circa il 10-15% delle </w:t>
      </w:r>
      <w:proofErr w:type="spellStart"/>
      <w:r w:rsidRPr="002121E6">
        <w:t>ipertransamina</w:t>
      </w:r>
      <w:r>
        <w:t>semie</w:t>
      </w:r>
      <w:proofErr w:type="spellEnd"/>
      <w:r>
        <w:t xml:space="preserve"> sono </w:t>
      </w:r>
      <w:proofErr w:type="spellStart"/>
      <w:r>
        <w:t>criptogeni</w:t>
      </w:r>
      <w:r w:rsidRPr="002121E6">
        <w:t>che</w:t>
      </w:r>
      <w:proofErr w:type="spellEnd"/>
      <w:r w:rsidRPr="002121E6">
        <w:t>)</w:t>
      </w:r>
      <w:r>
        <w:t>. L</w:t>
      </w:r>
      <w:r w:rsidRPr="002121E6">
        <w:t>o screening sierolog</w:t>
      </w:r>
      <w:r>
        <w:t>ico per celiachia è da conside</w:t>
      </w:r>
      <w:r w:rsidRPr="002121E6">
        <w:t>rare tra gli esami di primo livello nell’iter diagnostico</w:t>
      </w:r>
      <w:r>
        <w:t>.</w:t>
      </w:r>
    </w:p>
    <w:p w:rsidR="002121E6" w:rsidRDefault="002121E6" w:rsidP="00EF6F4B">
      <w:pPr>
        <w:pStyle w:val="Paragrafoelenco"/>
        <w:numPr>
          <w:ilvl w:val="0"/>
          <w:numId w:val="2"/>
        </w:numPr>
        <w:spacing w:line="360" w:lineRule="auto"/>
      </w:pPr>
      <w:r w:rsidRPr="00EF6F4B">
        <w:rPr>
          <w:i/>
        </w:rPr>
        <w:t>Osteoporosi</w:t>
      </w:r>
      <w:r>
        <w:t xml:space="preserve"> (in caso di </w:t>
      </w:r>
      <w:proofErr w:type="spellStart"/>
      <w:r>
        <w:t>iperparatiroidismo</w:t>
      </w:r>
      <w:proofErr w:type="spellEnd"/>
      <w:r>
        <w:t xml:space="preserve"> secondario o osteoporosi in giovane età).</w:t>
      </w:r>
    </w:p>
    <w:p w:rsidR="002121E6" w:rsidRPr="00EF6F4B" w:rsidRDefault="002121E6" w:rsidP="00EF6F4B">
      <w:pPr>
        <w:pStyle w:val="Paragrafoelenco"/>
        <w:numPr>
          <w:ilvl w:val="0"/>
          <w:numId w:val="2"/>
        </w:numPr>
        <w:spacing w:line="360" w:lineRule="auto"/>
        <w:rPr>
          <w:i/>
        </w:rPr>
      </w:pPr>
      <w:r w:rsidRPr="00EF6F4B">
        <w:rPr>
          <w:i/>
        </w:rPr>
        <w:t xml:space="preserve">Magrezza e/o </w:t>
      </w:r>
      <w:proofErr w:type="spellStart"/>
      <w:r w:rsidRPr="00EF6F4B">
        <w:rPr>
          <w:i/>
        </w:rPr>
        <w:t>ipostaturismo</w:t>
      </w:r>
      <w:proofErr w:type="spellEnd"/>
    </w:p>
    <w:p w:rsidR="002121E6" w:rsidRDefault="002121E6" w:rsidP="00EF6F4B">
      <w:pPr>
        <w:pStyle w:val="Paragrafoelenco"/>
        <w:numPr>
          <w:ilvl w:val="0"/>
          <w:numId w:val="2"/>
        </w:numPr>
        <w:spacing w:line="360" w:lineRule="auto"/>
      </w:pPr>
      <w:r w:rsidRPr="00EF6F4B">
        <w:rPr>
          <w:i/>
        </w:rPr>
        <w:t>Disturbi neurologici</w:t>
      </w:r>
      <w:r w:rsidRPr="002121E6">
        <w:t xml:space="preserve"> quali </w:t>
      </w:r>
      <w:proofErr w:type="spellStart"/>
      <w:r w:rsidRPr="002121E6">
        <w:t>polineuropatie</w:t>
      </w:r>
      <w:proofErr w:type="spellEnd"/>
      <w:r w:rsidRPr="002121E6">
        <w:t xml:space="preserve"> o atassia o epilessia con </w:t>
      </w:r>
      <w:proofErr w:type="spellStart"/>
      <w:r w:rsidRPr="002121E6">
        <w:t>calciﬁ</w:t>
      </w:r>
      <w:r>
        <w:t>cazioni</w:t>
      </w:r>
      <w:proofErr w:type="spellEnd"/>
      <w:r>
        <w:t xml:space="preserve"> cerebrali.</w:t>
      </w:r>
    </w:p>
    <w:p w:rsidR="002121E6" w:rsidRDefault="002121E6" w:rsidP="00EF6F4B">
      <w:pPr>
        <w:pStyle w:val="Paragrafoelenco"/>
        <w:numPr>
          <w:ilvl w:val="0"/>
          <w:numId w:val="2"/>
        </w:numPr>
        <w:spacing w:line="360" w:lineRule="auto"/>
      </w:pPr>
      <w:r w:rsidRPr="00EF6F4B">
        <w:rPr>
          <w:b/>
        </w:rPr>
        <w:t>Problemi ostetrico-ginecologici</w:t>
      </w:r>
      <w:r w:rsidRPr="002121E6">
        <w:t xml:space="preserve"> quali menarca tardivo o menopausa precoce o aborti ripetuti</w:t>
      </w:r>
      <w:r>
        <w:t>.</w:t>
      </w:r>
    </w:p>
    <w:p w:rsidR="002121E6" w:rsidRDefault="002121E6" w:rsidP="00EF6F4B">
      <w:pPr>
        <w:spacing w:line="360" w:lineRule="auto"/>
      </w:pPr>
      <w:r w:rsidRPr="002121E6">
        <w:t xml:space="preserve">I </w:t>
      </w:r>
      <w:r w:rsidRPr="00947A0E">
        <w:rPr>
          <w:b/>
        </w:rPr>
        <w:t>parenti di I grado</w:t>
      </w:r>
      <w:r w:rsidRPr="002121E6">
        <w:t xml:space="preserve"> dei soggetti celia</w:t>
      </w:r>
      <w:r w:rsidR="00EF6F4B">
        <w:t>ci devo</w:t>
      </w:r>
      <w:r w:rsidR="00947A0E">
        <w:t>no essere considerati a rischio</w:t>
      </w:r>
      <w:r w:rsidRPr="002121E6">
        <w:t xml:space="preserve"> in quanto la prevalenza della malattia è attorno al 10% e arriva anche al 30% nei fratelli HLA identici</w:t>
      </w:r>
      <w:r>
        <w:t xml:space="preserve">. </w:t>
      </w:r>
      <w:r w:rsidRPr="002121E6">
        <w:t>Al momento viene consigliato lo screening nei familiari di I grado, sintomatici e non.</w:t>
      </w:r>
    </w:p>
    <w:p w:rsidR="00947A0E" w:rsidRDefault="00947A0E" w:rsidP="00EF6F4B">
      <w:pPr>
        <w:spacing w:line="360" w:lineRule="auto"/>
      </w:pPr>
      <w:r>
        <w:t xml:space="preserve">La </w:t>
      </w:r>
      <w:r w:rsidRPr="00947A0E">
        <w:rPr>
          <w:b/>
        </w:rPr>
        <w:t>dermatite erpetiforme</w:t>
      </w:r>
      <w:r>
        <w:t xml:space="preserve"> è in pratica da considerare la celiachia della cute. È una patologia caratterizzata da lesioni simmetriche </w:t>
      </w:r>
      <w:proofErr w:type="spellStart"/>
      <w:r>
        <w:t>eritematopapulose</w:t>
      </w:r>
      <w:proofErr w:type="spellEnd"/>
      <w:r>
        <w:t xml:space="preserve"> localizzate sulle </w:t>
      </w:r>
      <w:proofErr w:type="spellStart"/>
      <w:r>
        <w:t>superﬁci</w:t>
      </w:r>
      <w:proofErr w:type="spellEnd"/>
      <w:r>
        <w:t xml:space="preserve"> </w:t>
      </w:r>
      <w:proofErr w:type="spellStart"/>
      <w:r>
        <w:t>estensorie</w:t>
      </w:r>
      <w:proofErr w:type="spellEnd"/>
      <w:r>
        <w:t xml:space="preserve"> degli arti, capo, glutei, dorso, estremamente pruriginose e rispondenti alla dieta priva di glutine. La biopsia cutanea è indispensabile per la diagnosi e in oltre l’80% dei casi è presente anche alterazione dei villi intestinali.</w:t>
      </w:r>
    </w:p>
    <w:p w:rsidR="00B62699" w:rsidRDefault="00B62699" w:rsidP="009220D9">
      <w:pPr>
        <w:spacing w:line="360" w:lineRule="auto"/>
        <w:rPr>
          <w:b/>
          <w:sz w:val="28"/>
          <w:szCs w:val="28"/>
        </w:rPr>
      </w:pPr>
      <w:r>
        <w:rPr>
          <w:b/>
          <w:sz w:val="28"/>
          <w:szCs w:val="28"/>
        </w:rPr>
        <w:lastRenderedPageBreak/>
        <w:t>LA DIAGNOSTICA SIEROLOGICA</w:t>
      </w:r>
    </w:p>
    <w:p w:rsidR="00B62699" w:rsidRPr="00B62699" w:rsidRDefault="0078562B" w:rsidP="009220D9">
      <w:pPr>
        <w:spacing w:line="360" w:lineRule="auto"/>
      </w:pPr>
      <w:r w:rsidRPr="0078562B">
        <w:t xml:space="preserve">La celiachia è caratterizzata dalla presenza di anticorpi specifici, diretti contro un auto-antigene, ovvero la </w:t>
      </w:r>
      <w:proofErr w:type="spellStart"/>
      <w:r w:rsidRPr="0078562B">
        <w:t>transglutaminasi</w:t>
      </w:r>
      <w:proofErr w:type="spellEnd"/>
      <w:r w:rsidRPr="0078562B">
        <w:t xml:space="preserve"> di tipo 2 (anti-TG2), e contro la gliadina </w:t>
      </w:r>
      <w:proofErr w:type="spellStart"/>
      <w:r w:rsidRPr="0078562B">
        <w:t>deaminata</w:t>
      </w:r>
      <w:proofErr w:type="spellEnd"/>
      <w:r w:rsidRPr="0078562B">
        <w:t xml:space="preserve"> (DGP). Gli anticorpi </w:t>
      </w:r>
      <w:proofErr w:type="spellStart"/>
      <w:r w:rsidRPr="0078562B">
        <w:t>antiendomisio</w:t>
      </w:r>
      <w:proofErr w:type="spellEnd"/>
      <w:r w:rsidRPr="0078562B">
        <w:t xml:space="preserve"> (EMA) sono rivolti contro la </w:t>
      </w:r>
      <w:proofErr w:type="spellStart"/>
      <w:r w:rsidRPr="0078562B">
        <w:t>transglutaminasi</w:t>
      </w:r>
      <w:proofErr w:type="spellEnd"/>
      <w:r w:rsidRPr="0078562B">
        <w:t xml:space="preserve"> extracellulare. Eccezion fatta per gli </w:t>
      </w:r>
      <w:proofErr w:type="spellStart"/>
      <w:r w:rsidRPr="0078562B">
        <w:t>anti-DGP</w:t>
      </w:r>
      <w:proofErr w:type="spellEnd"/>
      <w:r w:rsidRPr="0078562B">
        <w:t xml:space="preserve">, gli anticorpi utili per la diagnosi appartengono alla classe </w:t>
      </w:r>
      <w:proofErr w:type="spellStart"/>
      <w:r w:rsidRPr="0078562B">
        <w:t>IgA</w:t>
      </w:r>
      <w:proofErr w:type="spellEnd"/>
      <w:r w:rsidRPr="0078562B">
        <w:t xml:space="preserve">, ma in individui affetti da deficit di </w:t>
      </w:r>
      <w:proofErr w:type="spellStart"/>
      <w:r w:rsidRPr="0078562B">
        <w:t>IgA</w:t>
      </w:r>
      <w:proofErr w:type="spellEnd"/>
      <w:r w:rsidRPr="0078562B">
        <w:t xml:space="preserve"> è ut</w:t>
      </w:r>
      <w:r>
        <w:t xml:space="preserve">ile ricercare </w:t>
      </w:r>
      <w:r w:rsidRPr="0078562B">
        <w:t xml:space="preserve">anticorpi di classe </w:t>
      </w:r>
      <w:proofErr w:type="spellStart"/>
      <w:r w:rsidRPr="0078562B">
        <w:t>IgG</w:t>
      </w:r>
      <w:proofErr w:type="spellEnd"/>
      <w:r w:rsidRPr="0078562B">
        <w:t>.</w:t>
      </w:r>
      <w:r w:rsidR="009220D9">
        <w:t xml:space="preserve"> </w:t>
      </w:r>
      <w:r w:rsidR="00B62699" w:rsidRPr="00B62699">
        <w:t>Il ruolo degli anticorpi non è quello di sostituirsi alla bio</w:t>
      </w:r>
      <w:r>
        <w:t xml:space="preserve">psia intestinale, ma di </w:t>
      </w:r>
      <w:proofErr w:type="spellStart"/>
      <w:r>
        <w:t>identiﬁ</w:t>
      </w:r>
      <w:r w:rsidR="00B62699" w:rsidRPr="00B62699">
        <w:t>care</w:t>
      </w:r>
      <w:proofErr w:type="spellEnd"/>
      <w:r w:rsidR="00B62699" w:rsidRPr="00B62699">
        <w:t xml:space="preserve"> i soggetti con sospetta celiachia da confermare con l’indagine istologica</w:t>
      </w:r>
    </w:p>
    <w:p w:rsidR="00451390" w:rsidRPr="009220D9" w:rsidRDefault="00451390" w:rsidP="009220D9">
      <w:pPr>
        <w:spacing w:line="360" w:lineRule="auto"/>
        <w:rPr>
          <w:b/>
        </w:rPr>
      </w:pPr>
      <w:r w:rsidRPr="00451390">
        <w:t xml:space="preserve">Gli </w:t>
      </w:r>
      <w:r w:rsidRPr="00451390">
        <w:rPr>
          <w:b/>
        </w:rPr>
        <w:t xml:space="preserve">AGA di classe </w:t>
      </w:r>
      <w:proofErr w:type="spellStart"/>
      <w:r w:rsidRPr="00451390">
        <w:rPr>
          <w:b/>
        </w:rPr>
        <w:t>IgA</w:t>
      </w:r>
      <w:proofErr w:type="spellEnd"/>
      <w:r w:rsidRPr="00451390">
        <w:t xml:space="preserve">, </w:t>
      </w:r>
      <w:r>
        <w:t>mostra</w:t>
      </w:r>
      <w:r w:rsidRPr="00451390">
        <w:t>no una sen</w:t>
      </w:r>
      <w:r w:rsidR="009220D9">
        <w:t xml:space="preserve">sibilità del 73% ed una </w:t>
      </w:r>
      <w:proofErr w:type="spellStart"/>
      <w:r w:rsidR="009220D9">
        <w:t>speciﬁc</w:t>
      </w:r>
      <w:r w:rsidRPr="00451390">
        <w:t>ità</w:t>
      </w:r>
      <w:proofErr w:type="spellEnd"/>
      <w:r w:rsidRPr="00451390">
        <w:t xml:space="preserve"> dell’87% per la malattia celiaca. Falsi positivi vengono ritrovati in una elevata percentuale di pazienti con malattie gastrointe</w:t>
      </w:r>
      <w:r>
        <w:t>stinali ed an</w:t>
      </w:r>
      <w:r w:rsidRPr="00451390">
        <w:t>che in controlli sani. La loro importanza per la diagnostica della celia</w:t>
      </w:r>
      <w:r>
        <w:t>chia è diminuita dopo l’</w:t>
      </w:r>
      <w:proofErr w:type="spellStart"/>
      <w:r>
        <w:t>identiﬁ</w:t>
      </w:r>
      <w:r w:rsidRPr="00451390">
        <w:t>cazione</w:t>
      </w:r>
      <w:proofErr w:type="spellEnd"/>
      <w:r w:rsidRPr="00451390">
        <w:t xml:space="preserve"> degli </w:t>
      </w:r>
      <w:proofErr w:type="spellStart"/>
      <w:r>
        <w:t>EmA</w:t>
      </w:r>
      <w:proofErr w:type="spellEnd"/>
      <w:r>
        <w:t xml:space="preserve"> ed </w:t>
      </w:r>
      <w:proofErr w:type="spellStart"/>
      <w:r>
        <w:t>anti-tTG</w:t>
      </w:r>
      <w:proofErr w:type="spellEnd"/>
      <w:r>
        <w:t>. Peral</w:t>
      </w:r>
      <w:r w:rsidRPr="00451390">
        <w:t>tro, gli AGA sono ancora il test più utile per lo screening della celiachia nella prima infanzia</w:t>
      </w:r>
      <w:r w:rsidR="009220D9">
        <w:t xml:space="preserve"> (età &lt; 2 anni)</w:t>
      </w:r>
      <w:r w:rsidRPr="00451390">
        <w:t>, ove la loro sensibilità (97%) sovrasta q</w:t>
      </w:r>
      <w:r>
        <w:t xml:space="preserve">uella di </w:t>
      </w:r>
      <w:proofErr w:type="spellStart"/>
      <w:r>
        <w:t>EmA</w:t>
      </w:r>
      <w:proofErr w:type="spellEnd"/>
      <w:r>
        <w:t xml:space="preserve"> ed </w:t>
      </w:r>
      <w:proofErr w:type="spellStart"/>
      <w:r>
        <w:t>anti-tTG</w:t>
      </w:r>
      <w:proofErr w:type="spellEnd"/>
      <w:r>
        <w:t xml:space="preserve"> (83%).</w:t>
      </w:r>
      <w:r w:rsidR="009220D9">
        <w:t xml:space="preserve"> </w:t>
      </w:r>
      <w:r w:rsidR="000323E1" w:rsidRPr="009220D9">
        <w:rPr>
          <w:b/>
        </w:rPr>
        <w:t xml:space="preserve">Gli AGA </w:t>
      </w:r>
      <w:proofErr w:type="spellStart"/>
      <w:r w:rsidR="000323E1" w:rsidRPr="009220D9">
        <w:rPr>
          <w:b/>
        </w:rPr>
        <w:t>IgA</w:t>
      </w:r>
      <w:proofErr w:type="spellEnd"/>
      <w:r w:rsidR="000323E1" w:rsidRPr="009220D9">
        <w:rPr>
          <w:b/>
        </w:rPr>
        <w:t xml:space="preserve"> dovrebbero quindi essere ricercati solo nei bambini sotto i 2 anni di età, perché la loro ricerca è inutile e talvolta fuorviante nei bambini più grandi e negli adulti.</w:t>
      </w:r>
    </w:p>
    <w:p w:rsidR="00451390" w:rsidRDefault="00451390" w:rsidP="009220D9">
      <w:pPr>
        <w:spacing w:after="0" w:line="360" w:lineRule="auto"/>
      </w:pPr>
      <w:r w:rsidRPr="00451390">
        <w:t xml:space="preserve">Al momento i </w:t>
      </w:r>
      <w:r>
        <w:t>due test più validi per la dia</w:t>
      </w:r>
      <w:r w:rsidRPr="00451390">
        <w:t>gnostica sierologica della celiach</w:t>
      </w:r>
      <w:r>
        <w:t xml:space="preserve">ia sono gli </w:t>
      </w:r>
      <w:proofErr w:type="spellStart"/>
      <w:r>
        <w:t>EmA</w:t>
      </w:r>
      <w:proofErr w:type="spellEnd"/>
      <w:r>
        <w:t xml:space="preserve"> e gli </w:t>
      </w:r>
      <w:proofErr w:type="spellStart"/>
      <w:r>
        <w:t>anti-tTG</w:t>
      </w:r>
      <w:proofErr w:type="spellEnd"/>
      <w:r>
        <w:t>.</w:t>
      </w:r>
    </w:p>
    <w:p w:rsidR="00451390" w:rsidRDefault="00451390" w:rsidP="009220D9">
      <w:pPr>
        <w:spacing w:line="360" w:lineRule="auto"/>
      </w:pPr>
      <w:r w:rsidRPr="00451390">
        <w:t xml:space="preserve">Gli </w:t>
      </w:r>
      <w:proofErr w:type="spellStart"/>
      <w:r w:rsidRPr="00451390">
        <w:rPr>
          <w:b/>
        </w:rPr>
        <w:t>EmA</w:t>
      </w:r>
      <w:proofErr w:type="spellEnd"/>
      <w:r w:rsidRPr="00451390">
        <w:rPr>
          <w:b/>
        </w:rPr>
        <w:t xml:space="preserve"> </w:t>
      </w:r>
      <w:proofErr w:type="spellStart"/>
      <w:r w:rsidRPr="00451390">
        <w:rPr>
          <w:b/>
        </w:rPr>
        <w:t>IgA</w:t>
      </w:r>
      <w:proofErr w:type="spellEnd"/>
      <w:r w:rsidR="009220D9">
        <w:t xml:space="preserve"> </w:t>
      </w:r>
      <w:r>
        <w:t xml:space="preserve">consentono di </w:t>
      </w:r>
      <w:proofErr w:type="spellStart"/>
      <w:r>
        <w:t>identiﬁ</w:t>
      </w:r>
      <w:r w:rsidRPr="00451390">
        <w:t>care</w:t>
      </w:r>
      <w:proofErr w:type="spellEnd"/>
      <w:r w:rsidRPr="00451390">
        <w:t xml:space="preserve"> il 94%</w:t>
      </w:r>
      <w:r>
        <w:t xml:space="preserve"> dei celiaci con una </w:t>
      </w:r>
      <w:proofErr w:type="spellStart"/>
      <w:r>
        <w:t>speciﬁcità</w:t>
      </w:r>
      <w:proofErr w:type="spellEnd"/>
      <w:r>
        <w:t xml:space="preserve"> praticamente as</w:t>
      </w:r>
      <w:r w:rsidRPr="00451390">
        <w:t>soluta.</w:t>
      </w:r>
      <w:r>
        <w:t xml:space="preserve"> </w:t>
      </w:r>
      <w:r w:rsidRPr="00451390">
        <w:t xml:space="preserve">Gli </w:t>
      </w:r>
      <w:proofErr w:type="spellStart"/>
      <w:r w:rsidRPr="00451390">
        <w:t>EmA</w:t>
      </w:r>
      <w:proofErr w:type="spellEnd"/>
      <w:r w:rsidRPr="00451390">
        <w:t xml:space="preserve"> sono considerati il </w:t>
      </w:r>
      <w:r w:rsidRPr="00451390">
        <w:rPr>
          <w:b/>
        </w:rPr>
        <w:t>“</w:t>
      </w:r>
      <w:proofErr w:type="spellStart"/>
      <w:r w:rsidRPr="00451390">
        <w:rPr>
          <w:b/>
        </w:rPr>
        <w:t>gold</w:t>
      </w:r>
      <w:proofErr w:type="spellEnd"/>
      <w:r w:rsidRPr="00451390">
        <w:rPr>
          <w:b/>
        </w:rPr>
        <w:t xml:space="preserve"> standard” sierologico</w:t>
      </w:r>
      <w:r w:rsidRPr="00451390">
        <w:t xml:space="preserve"> della celiachia nei laboratori di riferimento, mentre risultati deludenti sono frequenti nei laboratori senza esperienza </w:t>
      </w:r>
      <w:r>
        <w:t>per la lettura dei test in IFL.</w:t>
      </w:r>
    </w:p>
    <w:p w:rsidR="00451390" w:rsidRDefault="00451390" w:rsidP="009220D9">
      <w:pPr>
        <w:spacing w:line="360" w:lineRule="auto"/>
      </w:pPr>
      <w:r w:rsidRPr="00451390">
        <w:t xml:space="preserve">La sensibilità degli </w:t>
      </w:r>
      <w:proofErr w:type="spellStart"/>
      <w:r w:rsidRPr="00451390">
        <w:rPr>
          <w:b/>
        </w:rPr>
        <w:t>anti-tTG</w:t>
      </w:r>
      <w:proofErr w:type="spellEnd"/>
      <w:r w:rsidRPr="00451390">
        <w:rPr>
          <w:b/>
        </w:rPr>
        <w:t xml:space="preserve"> di classe </w:t>
      </w:r>
      <w:proofErr w:type="spellStart"/>
      <w:r w:rsidRPr="00451390">
        <w:rPr>
          <w:b/>
        </w:rPr>
        <w:t>IgA</w:t>
      </w:r>
      <w:proofErr w:type="spellEnd"/>
      <w:r>
        <w:t xml:space="preserve"> </w:t>
      </w:r>
      <w:r w:rsidRPr="00451390">
        <w:t xml:space="preserve">è più elevata di quella degli </w:t>
      </w:r>
      <w:proofErr w:type="spellStart"/>
      <w:r w:rsidRPr="00451390">
        <w:t>EmA</w:t>
      </w:r>
      <w:proofErr w:type="spellEnd"/>
      <w:r w:rsidRPr="00451390">
        <w:t xml:space="preserve"> (97 vs. 94%), men</w:t>
      </w:r>
      <w:r>
        <w:t xml:space="preserve">tre la </w:t>
      </w:r>
      <w:proofErr w:type="spellStart"/>
      <w:r>
        <w:t>speciﬁ</w:t>
      </w:r>
      <w:r w:rsidRPr="00451390">
        <w:t>cità</w:t>
      </w:r>
      <w:proofErr w:type="spellEnd"/>
      <w:r w:rsidRPr="00451390">
        <w:t xml:space="preserve"> è sicuramente inferiore (91 vs. 100%). I falsi positivi per gli </w:t>
      </w:r>
      <w:proofErr w:type="spellStart"/>
      <w:r w:rsidRPr="00451390">
        <w:t>anti-tTG</w:t>
      </w:r>
      <w:proofErr w:type="spellEnd"/>
      <w:r w:rsidRPr="00451390">
        <w:t xml:space="preserve">, che di solito presentano bassi valori di attività </w:t>
      </w:r>
      <w:proofErr w:type="spellStart"/>
      <w:r w:rsidRPr="00451390">
        <w:t>anticorpale</w:t>
      </w:r>
      <w:proofErr w:type="spellEnd"/>
      <w:r w:rsidRPr="00451390">
        <w:t xml:space="preserve"> (inferiori a 2 volte il valore soglia), vengono r</w:t>
      </w:r>
      <w:r>
        <w:t>itrovati in pazienti con aller</w:t>
      </w:r>
      <w:r w:rsidRPr="00451390">
        <w:t xml:space="preserve">gia alimentare, giardiasi, infezioni intestinali virali e batteriche, morbo di </w:t>
      </w:r>
      <w:proofErr w:type="spellStart"/>
      <w:r w:rsidRPr="00451390">
        <w:t>Crohn</w:t>
      </w:r>
      <w:proofErr w:type="spellEnd"/>
      <w:r w:rsidRPr="00451390">
        <w:t xml:space="preserve">, </w:t>
      </w:r>
      <w:proofErr w:type="spellStart"/>
      <w:r w:rsidRPr="00451390">
        <w:t>rettocolite</w:t>
      </w:r>
      <w:proofErr w:type="spellEnd"/>
      <w:r w:rsidRPr="00451390">
        <w:t xml:space="preserve"> ulcerosa e patologia epatica cronica</w:t>
      </w:r>
      <w:r>
        <w:t>.</w:t>
      </w:r>
      <w:r w:rsidR="0003715A">
        <w:t xml:space="preserve"> </w:t>
      </w:r>
      <w:r w:rsidR="0003715A" w:rsidRPr="009220D9">
        <w:rPr>
          <w:b/>
        </w:rPr>
        <w:t xml:space="preserve">Gli </w:t>
      </w:r>
      <w:proofErr w:type="spellStart"/>
      <w:r w:rsidR="0003715A" w:rsidRPr="009220D9">
        <w:rPr>
          <w:b/>
        </w:rPr>
        <w:t>antitTG</w:t>
      </w:r>
      <w:proofErr w:type="spellEnd"/>
      <w:r w:rsidR="0003715A" w:rsidRPr="009220D9">
        <w:rPr>
          <w:b/>
        </w:rPr>
        <w:t xml:space="preserve"> </w:t>
      </w:r>
      <w:proofErr w:type="spellStart"/>
      <w:r w:rsidR="0003715A" w:rsidRPr="009220D9">
        <w:rPr>
          <w:b/>
        </w:rPr>
        <w:t>IgA</w:t>
      </w:r>
      <w:proofErr w:type="spellEnd"/>
      <w:r w:rsidR="0003715A" w:rsidRPr="009220D9">
        <w:rPr>
          <w:b/>
        </w:rPr>
        <w:t xml:space="preserve"> rappresentano l’esame di prima scelta per lo screening della celiachia per la più elevata sensibilità, riproducibilità e disponibilità di substrato</w:t>
      </w:r>
      <w:r w:rsidR="0003715A">
        <w:t xml:space="preserve">. Nella maggior parte dei laboratori gli </w:t>
      </w:r>
      <w:proofErr w:type="spellStart"/>
      <w:r w:rsidR="0003715A">
        <w:t>EmA</w:t>
      </w:r>
      <w:proofErr w:type="spellEnd"/>
      <w:r w:rsidR="0003715A">
        <w:t xml:space="preserve"> vengono attualmente utilizzati come test di conferma per i casi positivi per gli anti </w:t>
      </w:r>
      <w:proofErr w:type="spellStart"/>
      <w:r w:rsidR="0003715A">
        <w:t>tTG</w:t>
      </w:r>
      <w:proofErr w:type="spellEnd"/>
      <w:r w:rsidR="0003715A">
        <w:t>.</w:t>
      </w:r>
    </w:p>
    <w:p w:rsidR="0003715A" w:rsidRDefault="0003715A" w:rsidP="009220D9">
      <w:pPr>
        <w:spacing w:line="360" w:lineRule="auto"/>
      </w:pPr>
      <w:r>
        <w:t xml:space="preserve">Recentemente è stato individuato un nuovo marcatore: il </w:t>
      </w:r>
      <w:r w:rsidRPr="0003715A">
        <w:rPr>
          <w:b/>
        </w:rPr>
        <w:t>DGP-AGA</w:t>
      </w:r>
      <w:r w:rsidRPr="0003715A">
        <w:t xml:space="preserve">. La sensibilità di questo test è pari all’84% sia per gli anticorpi di classe </w:t>
      </w:r>
      <w:proofErr w:type="spellStart"/>
      <w:r w:rsidRPr="0003715A">
        <w:t>IgA</w:t>
      </w:r>
      <w:proofErr w:type="spellEnd"/>
      <w:r w:rsidRPr="0003715A">
        <w:t xml:space="preserve"> che </w:t>
      </w:r>
      <w:proofErr w:type="spellStart"/>
      <w:r w:rsidRPr="0003715A">
        <w:t>IgG</w:t>
      </w:r>
      <w:proofErr w:type="spellEnd"/>
      <w:r w:rsidRPr="0003715A">
        <w:t>, ma il dato più interessante è</w:t>
      </w:r>
      <w:r>
        <w:t xml:space="preserve"> indubbiamente l’elevata </w:t>
      </w:r>
      <w:proofErr w:type="spellStart"/>
      <w:r>
        <w:t>speciﬁ</w:t>
      </w:r>
      <w:r w:rsidRPr="0003715A">
        <w:t>cità</w:t>
      </w:r>
      <w:proofErr w:type="spellEnd"/>
      <w:r w:rsidRPr="0003715A">
        <w:t xml:space="preserve"> in particolare per la classe </w:t>
      </w:r>
      <w:proofErr w:type="spellStart"/>
      <w:r w:rsidRPr="0003715A">
        <w:t>IgG</w:t>
      </w:r>
      <w:proofErr w:type="spellEnd"/>
      <w:r w:rsidRPr="0003715A">
        <w:t xml:space="preserve"> (99%). Il confronto fra questo nuovo anticorpo ed i test tradizionali ha mostrato che i DGP-AGA hanno un’accuratezza diagnostica marcatamente più elevata di quella dei tradizionali AGA; inoltre, sebbene i DGP-AGA mostrino una sensibilità inferiore rispetto agli </w:t>
      </w:r>
      <w:proofErr w:type="spellStart"/>
      <w:r w:rsidRPr="0003715A">
        <w:t>EmA</w:t>
      </w:r>
      <w:proofErr w:type="spellEnd"/>
      <w:r w:rsidRPr="0003715A">
        <w:t xml:space="preserve"> </w:t>
      </w:r>
      <w:r>
        <w:t xml:space="preserve">e agli </w:t>
      </w:r>
      <w:proofErr w:type="spellStart"/>
      <w:r>
        <w:t>anti-tTG</w:t>
      </w:r>
      <w:proofErr w:type="spellEnd"/>
      <w:r>
        <w:t xml:space="preserve">, la loro </w:t>
      </w:r>
      <w:proofErr w:type="spellStart"/>
      <w:r>
        <w:t>speciﬁ</w:t>
      </w:r>
      <w:r w:rsidRPr="0003715A">
        <w:t>cità</w:t>
      </w:r>
      <w:proofErr w:type="spellEnd"/>
      <w:r w:rsidRPr="0003715A">
        <w:t xml:space="preserve"> per la classe </w:t>
      </w:r>
      <w:proofErr w:type="spellStart"/>
      <w:r w:rsidRPr="0003715A">
        <w:t>IgG</w:t>
      </w:r>
      <w:proofErr w:type="spellEnd"/>
      <w:r w:rsidRPr="0003715A">
        <w:t xml:space="preserve">, è così elevata da raggiungere quella degli </w:t>
      </w:r>
      <w:proofErr w:type="spellStart"/>
      <w:r w:rsidRPr="0003715A">
        <w:t>EmA</w:t>
      </w:r>
      <w:proofErr w:type="spellEnd"/>
      <w:r w:rsidRPr="0003715A">
        <w:t xml:space="preserve"> </w:t>
      </w:r>
      <w:proofErr w:type="spellStart"/>
      <w:r w:rsidRPr="0003715A">
        <w:t>IgA</w:t>
      </w:r>
      <w:proofErr w:type="spellEnd"/>
      <w:r w:rsidRPr="0003715A">
        <w:t xml:space="preserve"> e da superare quella degli </w:t>
      </w:r>
      <w:proofErr w:type="spellStart"/>
      <w:r w:rsidRPr="0003715A">
        <w:t>anti-tTG</w:t>
      </w:r>
      <w:proofErr w:type="spellEnd"/>
      <w:r w:rsidRPr="0003715A">
        <w:t xml:space="preserve"> </w:t>
      </w:r>
      <w:proofErr w:type="spellStart"/>
      <w:r w:rsidRPr="0003715A">
        <w:t>IgA</w:t>
      </w:r>
      <w:proofErr w:type="spellEnd"/>
      <w:r w:rsidRPr="0003715A">
        <w:t xml:space="preserve">. </w:t>
      </w:r>
      <w:r>
        <w:t xml:space="preserve">La determinazione combinata dei DGP-AGA e degli </w:t>
      </w:r>
      <w:proofErr w:type="spellStart"/>
      <w:r>
        <w:t>anti-tTG</w:t>
      </w:r>
      <w:proofErr w:type="spellEnd"/>
      <w:r>
        <w:t xml:space="preserve"> </w:t>
      </w:r>
      <w:proofErr w:type="spellStart"/>
      <w:r>
        <w:t>IgA</w:t>
      </w:r>
      <w:proofErr w:type="spellEnd"/>
      <w:r>
        <w:t xml:space="preserve"> consentirebbe </w:t>
      </w:r>
      <w:r w:rsidRPr="0003715A">
        <w:t xml:space="preserve">non solo di confermare la </w:t>
      </w:r>
      <w:proofErr w:type="spellStart"/>
      <w:r w:rsidRPr="0003715A">
        <w:t>speciﬁcità</w:t>
      </w:r>
      <w:proofErr w:type="spellEnd"/>
      <w:r w:rsidRPr="0003715A">
        <w:t xml:space="preserve"> degli </w:t>
      </w:r>
      <w:proofErr w:type="spellStart"/>
      <w:r w:rsidRPr="0003715A">
        <w:t>anti-tTG</w:t>
      </w:r>
      <w:proofErr w:type="spellEnd"/>
      <w:r w:rsidRPr="0003715A">
        <w:t xml:space="preserve"> (9% di falsi</w:t>
      </w:r>
      <w:r>
        <w:t xml:space="preserve"> positivi), ma anche di </w:t>
      </w:r>
      <w:proofErr w:type="spellStart"/>
      <w:r>
        <w:t>identiﬁ</w:t>
      </w:r>
      <w:r w:rsidRPr="0003715A">
        <w:t>care</w:t>
      </w:r>
      <w:proofErr w:type="spellEnd"/>
      <w:r w:rsidRPr="0003715A">
        <w:t xml:space="preserve"> la presenza di </w:t>
      </w:r>
      <w:r w:rsidRPr="0003715A">
        <w:lastRenderedPageBreak/>
        <w:t>cel</w:t>
      </w:r>
      <w:r>
        <w:t xml:space="preserve">iachia nei pazienti con </w:t>
      </w:r>
      <w:proofErr w:type="spellStart"/>
      <w:r>
        <w:t>deﬁcit</w:t>
      </w:r>
      <w:proofErr w:type="spellEnd"/>
      <w:r>
        <w:t xml:space="preserve"> </w:t>
      </w:r>
      <w:r w:rsidRPr="0003715A">
        <w:t xml:space="preserve">di </w:t>
      </w:r>
      <w:proofErr w:type="spellStart"/>
      <w:r w:rsidRPr="0003715A">
        <w:t>IgA</w:t>
      </w:r>
      <w:proofErr w:type="spellEnd"/>
      <w:r w:rsidRPr="0003715A">
        <w:t xml:space="preserve">. Inoltre, i DGP-AGA di classe </w:t>
      </w:r>
      <w:proofErr w:type="spellStart"/>
      <w:r w:rsidRPr="0003715A">
        <w:t>IgG</w:t>
      </w:r>
      <w:proofErr w:type="spellEnd"/>
      <w:r w:rsidRPr="0003715A">
        <w:t xml:space="preserve"> si sono rivelati un eccellente ma</w:t>
      </w:r>
      <w:r>
        <w:t xml:space="preserve">rcatore </w:t>
      </w:r>
      <w:proofErr w:type="spellStart"/>
      <w:r>
        <w:t>anticorpale</w:t>
      </w:r>
      <w:proofErr w:type="spellEnd"/>
      <w:r>
        <w:t xml:space="preserve"> per </w:t>
      </w:r>
      <w:proofErr w:type="spellStart"/>
      <w:r>
        <w:t>identiﬁ</w:t>
      </w:r>
      <w:r w:rsidRPr="0003715A">
        <w:t>care</w:t>
      </w:r>
      <w:proofErr w:type="spellEnd"/>
      <w:r w:rsidRPr="0003715A">
        <w:t xml:space="preserve"> i celiaci al di sotto dei due anni di età. La strategia </w:t>
      </w:r>
      <w:proofErr w:type="spellStart"/>
      <w:r w:rsidRPr="0003715A">
        <w:t>anticorpale</w:t>
      </w:r>
      <w:proofErr w:type="spellEnd"/>
      <w:r w:rsidRPr="0003715A">
        <w:t xml:space="preserve"> basata sulla ricerca combinata di </w:t>
      </w:r>
      <w:proofErr w:type="spellStart"/>
      <w:r w:rsidRPr="0003715A">
        <w:t>anti-tTG</w:t>
      </w:r>
      <w:proofErr w:type="spellEnd"/>
      <w:r w:rsidRPr="0003715A">
        <w:t xml:space="preserve"> </w:t>
      </w:r>
      <w:proofErr w:type="spellStart"/>
      <w:r w:rsidRPr="0003715A">
        <w:t>IgA</w:t>
      </w:r>
      <w:proofErr w:type="spellEnd"/>
      <w:r w:rsidRPr="0003715A">
        <w:t xml:space="preserve"> e DGP-AGA di classe </w:t>
      </w:r>
      <w:proofErr w:type="spellStart"/>
      <w:r w:rsidRPr="0003715A">
        <w:t>IgG</w:t>
      </w:r>
      <w:proofErr w:type="spellEnd"/>
      <w:r w:rsidRPr="0003715A">
        <w:t xml:space="preserve"> consentirebbe di</w:t>
      </w:r>
      <w:r>
        <w:t xml:space="preserve"> ridurre il numero dei test ne</w:t>
      </w:r>
      <w:r w:rsidRPr="0003715A">
        <w:t xml:space="preserve">cessari per lo screening sierologico di celiachia, eliminando in un sol colpo la necessità per </w:t>
      </w:r>
      <w:proofErr w:type="spellStart"/>
      <w:r w:rsidRPr="0003715A">
        <w:t>EmA</w:t>
      </w:r>
      <w:proofErr w:type="spellEnd"/>
      <w:r w:rsidRPr="0003715A">
        <w:t xml:space="preserve"> </w:t>
      </w:r>
      <w:proofErr w:type="spellStart"/>
      <w:r w:rsidRPr="0003715A">
        <w:t>IgA</w:t>
      </w:r>
      <w:proofErr w:type="spellEnd"/>
      <w:r w:rsidRPr="0003715A">
        <w:t xml:space="preserve">, </w:t>
      </w:r>
      <w:proofErr w:type="spellStart"/>
      <w:r w:rsidRPr="0003715A">
        <w:t>anti-tTG</w:t>
      </w:r>
      <w:proofErr w:type="spellEnd"/>
      <w:r w:rsidRPr="0003715A">
        <w:t xml:space="preserve"> </w:t>
      </w:r>
      <w:proofErr w:type="spellStart"/>
      <w:r w:rsidRPr="0003715A">
        <w:t>IgG</w:t>
      </w:r>
      <w:proofErr w:type="spellEnd"/>
      <w:r w:rsidRPr="0003715A">
        <w:t xml:space="preserve"> ed AGA </w:t>
      </w:r>
      <w:proofErr w:type="spellStart"/>
      <w:r w:rsidRPr="0003715A">
        <w:t>IgA</w:t>
      </w:r>
      <w:proofErr w:type="spellEnd"/>
      <w:r>
        <w:t>.</w:t>
      </w:r>
      <w:r w:rsidR="000323E1">
        <w:t xml:space="preserve"> Da quanto detto, </w:t>
      </w:r>
      <w:r w:rsidR="000323E1" w:rsidRPr="000323E1">
        <w:t xml:space="preserve">i DGP-AGA di classe </w:t>
      </w:r>
      <w:proofErr w:type="spellStart"/>
      <w:r w:rsidR="000323E1" w:rsidRPr="000323E1">
        <w:t>IgG</w:t>
      </w:r>
      <w:proofErr w:type="spellEnd"/>
      <w:r w:rsidR="000323E1" w:rsidRPr="000323E1">
        <w:t xml:space="preserve"> sembrano essere un mezzo promettente per lo screening </w:t>
      </w:r>
      <w:proofErr w:type="spellStart"/>
      <w:r w:rsidR="000323E1" w:rsidRPr="000323E1">
        <w:t>anticorpale</w:t>
      </w:r>
      <w:proofErr w:type="spellEnd"/>
      <w:r w:rsidR="000323E1" w:rsidRPr="000323E1">
        <w:t xml:space="preserve"> della celiachia, ma la validità di questo test deve ancora essere confermata su grandi serie di pazienti</w:t>
      </w:r>
      <w:r w:rsidR="000323E1">
        <w:t>.</w:t>
      </w:r>
    </w:p>
    <w:p w:rsidR="000323E1" w:rsidRDefault="000323E1" w:rsidP="009220D9">
      <w:pPr>
        <w:spacing w:line="360" w:lineRule="auto"/>
        <w:rPr>
          <w:b/>
          <w:sz w:val="28"/>
          <w:szCs w:val="28"/>
        </w:rPr>
      </w:pPr>
      <w:r>
        <w:rPr>
          <w:b/>
          <w:sz w:val="28"/>
          <w:szCs w:val="28"/>
        </w:rPr>
        <w:t>GENETICA</w:t>
      </w:r>
    </w:p>
    <w:p w:rsidR="000323E1" w:rsidRDefault="000323E1" w:rsidP="009220D9">
      <w:pPr>
        <w:spacing w:line="360" w:lineRule="auto"/>
      </w:pPr>
      <w:r w:rsidRPr="000323E1">
        <w:t>La suscettibil</w:t>
      </w:r>
      <w:r w:rsidR="009220D9">
        <w:t>ità alla celiachia è determina</w:t>
      </w:r>
      <w:r w:rsidRPr="000323E1">
        <w:t>ta in gran parte da molecole di classe II del complesso maggiore di istocompatibilità, in particolare dagli antigeni HLA-DQ2 e HLA- DQ8.</w:t>
      </w:r>
      <w:r>
        <w:t xml:space="preserve"> Queste molecole sono </w:t>
      </w:r>
      <w:proofErr w:type="spellStart"/>
      <w:r>
        <w:t>glicoproteine</w:t>
      </w:r>
      <w:proofErr w:type="spellEnd"/>
      <w:r>
        <w:t xml:space="preserve"> che si legano a peptidi del</w:t>
      </w:r>
      <w:r w:rsidRPr="000323E1">
        <w:t xml:space="preserve">la gliadina, </w:t>
      </w:r>
      <w:proofErr w:type="spellStart"/>
      <w:r w:rsidRPr="000323E1">
        <w:t>deamidati</w:t>
      </w:r>
      <w:proofErr w:type="spellEnd"/>
      <w:r w:rsidRPr="000323E1">
        <w:t xml:space="preserve"> dalla </w:t>
      </w:r>
      <w:proofErr w:type="spellStart"/>
      <w:r w:rsidRPr="000323E1">
        <w:t>transglutaminasi</w:t>
      </w:r>
      <w:proofErr w:type="spellEnd"/>
      <w:r w:rsidRPr="000323E1">
        <w:t xml:space="preserve"> tissutale, for</w:t>
      </w:r>
      <w:r>
        <w:t xml:space="preserve">mando così un complesso </w:t>
      </w:r>
      <w:proofErr w:type="spellStart"/>
      <w:r>
        <w:t>HLA-an</w:t>
      </w:r>
      <w:r w:rsidRPr="000323E1">
        <w:t>tigene</w:t>
      </w:r>
      <w:proofErr w:type="spellEnd"/>
      <w:r w:rsidRPr="000323E1">
        <w:t xml:space="preserve"> che può essere riconosciuto dai recettori dei linfociti T CD4+ nella mucosa intestinale. Ciò determina att</w:t>
      </w:r>
      <w:r>
        <w:t>ivazione dei linfociti con suc</w:t>
      </w:r>
      <w:r w:rsidRPr="000323E1">
        <w:t>cessiv</w:t>
      </w:r>
      <w:r>
        <w:t xml:space="preserve">o rilascio di </w:t>
      </w:r>
      <w:proofErr w:type="spellStart"/>
      <w:r>
        <w:t>citochine</w:t>
      </w:r>
      <w:proofErr w:type="spellEnd"/>
      <w:r>
        <w:t xml:space="preserve"> </w:t>
      </w:r>
      <w:proofErr w:type="spellStart"/>
      <w:r>
        <w:t>proinﬁ</w:t>
      </w:r>
      <w:r w:rsidRPr="000323E1">
        <w:t>ammatorie</w:t>
      </w:r>
      <w:proofErr w:type="spellEnd"/>
      <w:r w:rsidRPr="000323E1">
        <w:t xml:space="preserve"> responsabili delle lesioni istologiche</w:t>
      </w:r>
      <w:r>
        <w:t>.</w:t>
      </w:r>
    </w:p>
    <w:p w:rsidR="0078562B" w:rsidRDefault="000323E1" w:rsidP="009220D9">
      <w:pPr>
        <w:spacing w:line="360" w:lineRule="auto"/>
      </w:pPr>
      <w:r w:rsidRPr="000323E1">
        <w:t xml:space="preserve">La tipizzazione </w:t>
      </w:r>
      <w:r w:rsidR="0078562B">
        <w:t>HLA ha un valore predittivo ne</w:t>
      </w:r>
      <w:r w:rsidRPr="000323E1">
        <w:t>gativo pressoché assoluto ma un basso valore</w:t>
      </w:r>
      <w:r>
        <w:t xml:space="preserve"> </w:t>
      </w:r>
      <w:r w:rsidRPr="000323E1">
        <w:t>predittivo positivo: pertanto se sia il DQ2 che il DQ8 sono assenti non vi è quasi nessuna possibilità di sviluppare la malattia; viceversa, se sono presenti, la malattia è possibile, ma va ricordato</w:t>
      </w:r>
      <w:r>
        <w:t xml:space="preserve"> che il 30-35% della popolazio</w:t>
      </w:r>
      <w:r w:rsidRPr="000323E1">
        <w:t>ne generale e il 60-70% dei familiari di primo grado hanno questi antigeni senza avere la malattia. Infatti l’HLA spiega soltanto il 30-40% del rischio genetico</w:t>
      </w:r>
      <w:r>
        <w:t>.</w:t>
      </w:r>
    </w:p>
    <w:p w:rsidR="0078562B" w:rsidRDefault="0078562B" w:rsidP="009220D9">
      <w:pPr>
        <w:spacing w:line="360" w:lineRule="auto"/>
      </w:pPr>
      <w:r w:rsidRPr="009220D9">
        <w:rPr>
          <w:b/>
        </w:rPr>
        <w:t xml:space="preserve">Quando è utile ricorrere alla </w:t>
      </w:r>
      <w:proofErr w:type="spellStart"/>
      <w:r w:rsidRPr="009220D9">
        <w:rPr>
          <w:b/>
        </w:rPr>
        <w:t>tipizzazone</w:t>
      </w:r>
      <w:proofErr w:type="spellEnd"/>
      <w:r w:rsidRPr="009220D9">
        <w:rPr>
          <w:b/>
        </w:rPr>
        <w:t xml:space="preserve"> HLA? N</w:t>
      </w:r>
      <w:r w:rsidR="000323E1" w:rsidRPr="009220D9">
        <w:rPr>
          <w:b/>
        </w:rPr>
        <w:t xml:space="preserve">ei casi in cui abbiamo </w:t>
      </w:r>
      <w:r w:rsidRPr="009220D9">
        <w:rPr>
          <w:b/>
        </w:rPr>
        <w:t>pattern sierologici e/o istolo</w:t>
      </w:r>
      <w:r w:rsidR="000323E1" w:rsidRPr="009220D9">
        <w:rPr>
          <w:b/>
        </w:rPr>
        <w:t>gici ambigui; quando non è disponibile una biopsia digiunale, e soprattutto nell’ambito di una strategia d</w:t>
      </w:r>
      <w:r w:rsidRPr="009220D9">
        <w:rPr>
          <w:b/>
        </w:rPr>
        <w:t>i screening per individui asin</w:t>
      </w:r>
      <w:r w:rsidR="000323E1" w:rsidRPr="009220D9">
        <w:rPr>
          <w:b/>
        </w:rPr>
        <w:t>tomatici ma che appartengono a “gruppi a rischio” quali soggetti con sindrome di Turner, sindrome di D</w:t>
      </w:r>
      <w:r w:rsidRPr="009220D9">
        <w:rPr>
          <w:b/>
        </w:rPr>
        <w:t>own, sindrome di Williams e fa</w:t>
      </w:r>
      <w:r w:rsidR="000323E1" w:rsidRPr="009220D9">
        <w:rPr>
          <w:b/>
        </w:rPr>
        <w:t>miliari di primo grado di celiaci. In questi casi l’assenza del DQ2 e DQ8 rende la celiachia altamente improbabile, per cui l</w:t>
      </w:r>
      <w:r w:rsidRPr="009220D9">
        <w:rPr>
          <w:b/>
        </w:rPr>
        <w:t xml:space="preserve">’analisi HLA contribuisce a </w:t>
      </w:r>
      <w:proofErr w:type="spellStart"/>
      <w:r w:rsidRPr="009220D9">
        <w:rPr>
          <w:b/>
        </w:rPr>
        <w:t>deﬁ</w:t>
      </w:r>
      <w:r w:rsidR="000323E1" w:rsidRPr="009220D9">
        <w:rPr>
          <w:b/>
        </w:rPr>
        <w:t>nire</w:t>
      </w:r>
      <w:proofErr w:type="spellEnd"/>
      <w:r w:rsidR="000323E1" w:rsidRPr="009220D9">
        <w:rPr>
          <w:b/>
        </w:rPr>
        <w:t xml:space="preserve"> una popolazione che non ha più bisogno di eseguire test sierologici nel tempo</w:t>
      </w:r>
      <w:r w:rsidR="000323E1" w:rsidRPr="000323E1">
        <w:t>.</w:t>
      </w:r>
    </w:p>
    <w:p w:rsidR="0078562B" w:rsidRPr="00192530" w:rsidRDefault="00192530" w:rsidP="009220D9">
      <w:pPr>
        <w:spacing w:line="360" w:lineRule="auto"/>
        <w:rPr>
          <w:b/>
          <w:sz w:val="28"/>
          <w:szCs w:val="28"/>
        </w:rPr>
      </w:pPr>
      <w:r>
        <w:rPr>
          <w:b/>
          <w:sz w:val="28"/>
          <w:szCs w:val="28"/>
        </w:rPr>
        <w:t>BIPSIA E ISTOLOGIA</w:t>
      </w:r>
    </w:p>
    <w:p w:rsidR="00192530" w:rsidRDefault="00192530" w:rsidP="009220D9">
      <w:pPr>
        <w:spacing w:line="360" w:lineRule="auto"/>
      </w:pPr>
      <w:r>
        <w:t xml:space="preserve">La biopsia, </w:t>
      </w:r>
      <w:r w:rsidR="0078562B" w:rsidRPr="0078562B">
        <w:t xml:space="preserve">eseguita mediante </w:t>
      </w:r>
      <w:proofErr w:type="spellStart"/>
      <w:r w:rsidR="0078562B" w:rsidRPr="0078562B">
        <w:t>esofagogastroduodenoscopia</w:t>
      </w:r>
      <w:proofErr w:type="spellEnd"/>
      <w:r>
        <w:t xml:space="preserve"> rappresenta </w:t>
      </w:r>
      <w:r w:rsidRPr="00192530">
        <w:t>un p</w:t>
      </w:r>
      <w:r>
        <w:t>residio fondamentale nella dia</w:t>
      </w:r>
      <w:r w:rsidRPr="00192530">
        <w:t>gnostica della malattia celiaca</w:t>
      </w:r>
      <w:r w:rsidR="009220D9">
        <w:t>.</w:t>
      </w:r>
      <w:r w:rsidRPr="00192530">
        <w:t xml:space="preserve"> La valutazione i</w:t>
      </w:r>
      <w:r>
        <w:t>stologica della mucosa intesti</w:t>
      </w:r>
      <w:r w:rsidRPr="00192530">
        <w:t xml:space="preserve">nale permette di: diagnosticare o escludere la malattia celiaca; </w:t>
      </w:r>
      <w:r>
        <w:t xml:space="preserve">graduare la severità del danno, </w:t>
      </w:r>
      <w:proofErr w:type="spellStart"/>
      <w:r>
        <w:t>identiﬁ</w:t>
      </w:r>
      <w:r w:rsidRPr="00192530">
        <w:t>care</w:t>
      </w:r>
      <w:proofErr w:type="spellEnd"/>
      <w:r w:rsidRPr="00192530">
        <w:t xml:space="preserve"> le possibili complicanze della malattia.</w:t>
      </w:r>
      <w:r>
        <w:t xml:space="preserve"> </w:t>
      </w:r>
      <w:r w:rsidR="0078562B" w:rsidRPr="0078562B">
        <w:t xml:space="preserve">L’aspetto istologico dell’intestino del soggetto celiaco presenta diversi gradi di severità, andando dall’infiltrazione linfocitaria fino </w:t>
      </w:r>
      <w:r>
        <w:t>all’atrofia completa dei villi.</w:t>
      </w:r>
      <w:r w:rsidRPr="00192530">
        <w:t xml:space="preserve"> La descrizione delle lesioni va effettuata in accordo classificazioni riconosciute a livello internazionale, considerando l’infiltrazione </w:t>
      </w:r>
      <w:r w:rsidRPr="00192530">
        <w:lastRenderedPageBreak/>
        <w:t>linfocitaria, l’atrofia dei villi, l’iperplasia delle cripte, il rapporto villi/cripte. Fondamentale è il corretto orientamento della biopsia.</w:t>
      </w:r>
    </w:p>
    <w:p w:rsidR="007439D1" w:rsidRDefault="0078562B" w:rsidP="007439D1">
      <w:pPr>
        <w:spacing w:line="360" w:lineRule="auto"/>
      </w:pPr>
      <w:r w:rsidRPr="00F94D0B">
        <w:rPr>
          <w:b/>
        </w:rPr>
        <w:t xml:space="preserve">Una seconda biopsia va considerata in caso di pazienti che pur essendo a dieta senza glutine rimangono sintomatici, mentre non è necessaria, almeno per quanto riguarda i pazienti in età pediatrica, nei celiaci a dieta senza glutine che presentano risoluzione della sintomatologia e </w:t>
      </w:r>
      <w:proofErr w:type="spellStart"/>
      <w:r w:rsidRPr="00F94D0B">
        <w:rPr>
          <w:b/>
        </w:rPr>
        <w:t>negativizzazione</w:t>
      </w:r>
      <w:proofErr w:type="spellEnd"/>
      <w:r w:rsidRPr="00F94D0B">
        <w:rPr>
          <w:b/>
        </w:rPr>
        <w:t xml:space="preserve"> della sierologia</w:t>
      </w:r>
      <w:r w:rsidR="007439D1">
        <w:t>.</w:t>
      </w:r>
    </w:p>
    <w:p w:rsidR="007439D1" w:rsidRDefault="007439D1" w:rsidP="007439D1">
      <w:pPr>
        <w:spacing w:line="360" w:lineRule="auto"/>
        <w:rPr>
          <w:b/>
          <w:sz w:val="28"/>
          <w:szCs w:val="28"/>
        </w:rPr>
      </w:pPr>
      <w:r>
        <w:rPr>
          <w:b/>
          <w:sz w:val="28"/>
          <w:szCs w:val="28"/>
        </w:rPr>
        <w:t>LA DIETA SENZA GLUTINE</w:t>
      </w:r>
    </w:p>
    <w:p w:rsidR="007439D1" w:rsidRDefault="007439D1" w:rsidP="007439D1">
      <w:pPr>
        <w:spacing w:line="360" w:lineRule="auto"/>
      </w:pPr>
      <w:r w:rsidRPr="00D13636">
        <w:t>Una scrupolosa e permanente dieta senza glutine (DSG) è l’unico trattamen</w:t>
      </w:r>
      <w:r>
        <w:t>to ad oggi disponibile per la malattia celiaca</w:t>
      </w:r>
      <w:r w:rsidRPr="00D13636">
        <w:t>. Con termine glutine si comprende in origine il complesso proteico alcol-solubile solo del grano (composto da gliadine e glutenine), ma in considerazione dell’omologia di sequenze e della simile tossicità per i soggetti celiaci, questo termine è stato esteso per identificare le omologhe proteine dell’orzo (</w:t>
      </w:r>
      <w:proofErr w:type="spellStart"/>
      <w:r w:rsidRPr="00D13636">
        <w:t>ordeine</w:t>
      </w:r>
      <w:proofErr w:type="spellEnd"/>
      <w:r w:rsidRPr="00D13636">
        <w:t>) e della segale (</w:t>
      </w:r>
      <w:proofErr w:type="spellStart"/>
      <w:r w:rsidRPr="00D13636">
        <w:t>secaline</w:t>
      </w:r>
      <w:proofErr w:type="spellEnd"/>
      <w:r w:rsidRPr="00D13636">
        <w:t xml:space="preserve">). Quindi i soggetti celiaci </w:t>
      </w:r>
      <w:r w:rsidRPr="00D13636">
        <w:rPr>
          <w:b/>
        </w:rPr>
        <w:t xml:space="preserve">devono evitare cibi a base di grano (tutto il gruppo </w:t>
      </w:r>
      <w:proofErr w:type="spellStart"/>
      <w:r w:rsidRPr="00D13636">
        <w:rPr>
          <w:b/>
        </w:rPr>
        <w:t>Triticum</w:t>
      </w:r>
      <w:proofErr w:type="spellEnd"/>
      <w:r w:rsidRPr="00D13636">
        <w:rPr>
          <w:b/>
        </w:rPr>
        <w:t>, compresi farro e spelta), segale ed orzo</w:t>
      </w:r>
      <w:r w:rsidRPr="00D13636">
        <w:t>; inoltre queste persone devono prestare attenzione a tutti quei prodotti alimentari trasformati e/o confezionati, nei quali in glutine viene aggiunto durante i processi industriali come additivo.</w:t>
      </w:r>
    </w:p>
    <w:p w:rsidR="007439D1" w:rsidRDefault="007439D1" w:rsidP="007439D1">
      <w:pPr>
        <w:spacing w:line="360" w:lineRule="auto"/>
      </w:pPr>
      <w:r w:rsidRPr="00D13636">
        <w:rPr>
          <w:b/>
        </w:rPr>
        <w:t xml:space="preserve">I cereali che non contengono glutine, e che quindi sono liberamente permessi in un DSG sono mais, riso, sorgo, miglio e </w:t>
      </w:r>
      <w:proofErr w:type="spellStart"/>
      <w:r w:rsidRPr="00D13636">
        <w:rPr>
          <w:b/>
        </w:rPr>
        <w:t>teff</w:t>
      </w:r>
      <w:proofErr w:type="spellEnd"/>
      <w:r w:rsidRPr="00D13636">
        <w:t xml:space="preserve">. Inoltre gli </w:t>
      </w:r>
      <w:proofErr w:type="spellStart"/>
      <w:r w:rsidRPr="00D13636">
        <w:t>pseudo-cereali</w:t>
      </w:r>
      <w:proofErr w:type="spellEnd"/>
      <w:r w:rsidRPr="00D13636">
        <w:t xml:space="preserve">, tra i più diffusi </w:t>
      </w:r>
      <w:proofErr w:type="spellStart"/>
      <w:r w:rsidRPr="00D13636">
        <w:rPr>
          <w:b/>
        </w:rPr>
        <w:t>quinoa</w:t>
      </w:r>
      <w:proofErr w:type="spellEnd"/>
      <w:r w:rsidRPr="00D13636">
        <w:rPr>
          <w:b/>
        </w:rPr>
        <w:t>, grano saraceno e manioca</w:t>
      </w:r>
      <w:r w:rsidRPr="00D13636">
        <w:t>, sono privi di glutine. Riguardo all’inclusione dell’avena nella DSG, persistono tuttora delle perplessità; sebbene sia tollerata dalla maggi</w:t>
      </w:r>
      <w:r>
        <w:t xml:space="preserve">or parte dei soggetti celiaci; </w:t>
      </w:r>
      <w:r w:rsidRPr="00D13636">
        <w:t>alcuni pazienti celiaci trattati mostrano comunque una risposta immune ed inoltre vi è ancora incertezza riguardo la tossicità delle diverse varietà d</w:t>
      </w:r>
      <w:r>
        <w:t>i avena nella malattia celiaca (vedi Tabelle 3 e 4)</w:t>
      </w:r>
    </w:p>
    <w:p w:rsidR="007439D1" w:rsidRDefault="007439D1" w:rsidP="007439D1">
      <w:pPr>
        <w:spacing w:line="360" w:lineRule="auto"/>
      </w:pPr>
      <w:r w:rsidRPr="00D13636">
        <w:t xml:space="preserve">La DSG è efficace nel determinare la remissione nel soggetto celiaco, dei sintomi e segni dipendenti dalla malattia, la normalizzazione dei livelli plasmatici degli auto-anticorpi glutine-dipendenti e delle lesioni della mucosa duodenale. La DSG inoltre, è uno strumento efficace nel prevenire </w:t>
      </w:r>
      <w:r>
        <w:t>le complicanze associate alla celiachia</w:t>
      </w:r>
      <w:r w:rsidRPr="00D13636">
        <w:t>, alcune delle quali a prognosi estremamente sfavorevole</w:t>
      </w:r>
      <w:r>
        <w:t>.</w:t>
      </w:r>
    </w:p>
    <w:p w:rsidR="007439D1" w:rsidRDefault="007439D1" w:rsidP="007439D1">
      <w:pPr>
        <w:spacing w:line="360" w:lineRule="auto"/>
      </w:pPr>
      <w:r w:rsidRPr="007439D1">
        <w:rPr>
          <w:b/>
        </w:rPr>
        <w:t xml:space="preserve">La </w:t>
      </w:r>
      <w:proofErr w:type="spellStart"/>
      <w:r w:rsidRPr="007439D1">
        <w:rPr>
          <w:b/>
        </w:rPr>
        <w:t>compliance</w:t>
      </w:r>
      <w:proofErr w:type="spellEnd"/>
      <w:r w:rsidRPr="007439D1">
        <w:rPr>
          <w:b/>
        </w:rPr>
        <w:t xml:space="preserve"> alla DSG deve essere rigorosa</w:t>
      </w:r>
      <w:r w:rsidRPr="00D13636">
        <w:t>, nell’ambito di questo regime dietetico va evitata l’assunzione volontaria di glutine (trasgressioni), anche saltuariamente e in piccole dosi e anche qualora non si scatenassero s</w:t>
      </w:r>
      <w:r>
        <w:t xml:space="preserve">intomi e/o segni propri della malattia </w:t>
      </w:r>
      <w:proofErr w:type="spellStart"/>
      <w:r>
        <w:t>celiaa</w:t>
      </w:r>
      <w:proofErr w:type="spellEnd"/>
      <w:r w:rsidRPr="00D13636">
        <w:t xml:space="preserve"> nell’immediato dopo l’assunzione di glutine. Riguardo alle contaminazioni (presenza non voluta di tracce di glutine in alimenti che ne sono naturalmente privi in seguito al passaggio accidentale durante processi di conservazione e preparazione domestica e/o nella ristorazione collettiva), l’atteggiamento da tenere deve essere di attenzione, evitando com</w:t>
      </w:r>
      <w:r>
        <w:t xml:space="preserve">portamenti troppo restrittivi. </w:t>
      </w:r>
      <w:r w:rsidRPr="00D13636">
        <w:t xml:space="preserve">La DSG prevede il consumo, oltre di alimenti naturalmente privi di glutine (sopra descritti), di prodotti alimentari appositamente formulati per celiaci. Questi sono succedanei di alimenti di </w:t>
      </w:r>
      <w:r w:rsidRPr="00D13636">
        <w:lastRenderedPageBreak/>
        <w:t>uso comune in cui la presenza di cereali contenenti glutine è caratterizzante e prevalente, se non esclusiva e che sono stati prodotti con materie prime prive di glutine o private del glutine. Tali prodotti possono riportare in etichetta l’indicazione nutrizionale volontaria “senza glutine”. La stessa dicitura è permessa per gli alimenti confezionati e/o lavorati che pur non essendo caratterizzati dalla sostituzione di cereali contenenti glutine con quelli che ne sono privi, sono stat</w:t>
      </w:r>
      <w:r>
        <w:t xml:space="preserve">i </w:t>
      </w:r>
      <w:r w:rsidRPr="00AC71B7">
        <w:t>prodotti evitando l’aggiunta di glutine come additivo. Per poter riportare l’indicazione “senza glutine” in etichetta, un prodotto alimentare deve avere un contenuto di glutine inferiore a 20 parti per milione</w:t>
      </w:r>
      <w:r>
        <w:t>.</w:t>
      </w:r>
    </w:p>
    <w:p w:rsidR="007439D1" w:rsidRDefault="007439D1" w:rsidP="007439D1">
      <w:pPr>
        <w:spacing w:line="360" w:lineRule="auto"/>
      </w:pPr>
      <w:r w:rsidRPr="00D955CA">
        <w:t xml:space="preserve">Gli individui celiaci in trattamento dietetico presentano a regime un </w:t>
      </w:r>
      <w:proofErr w:type="spellStart"/>
      <w:r w:rsidRPr="00D955CA">
        <w:t>intake</w:t>
      </w:r>
      <w:proofErr w:type="spellEnd"/>
      <w:r w:rsidRPr="00D955CA">
        <w:t xml:space="preserve"> inferiore alle quantità raccomandate di fibre, calcio, </w:t>
      </w:r>
      <w:proofErr w:type="spellStart"/>
      <w:r w:rsidRPr="00D955CA">
        <w:t>folati</w:t>
      </w:r>
      <w:proofErr w:type="spellEnd"/>
      <w:r w:rsidRPr="00D955CA">
        <w:t xml:space="preserve"> e vitamina B12, mentre non ci sono evidenti differenze tra la dieta libera e la DSG riguardo all’apporto di energia e di macronutrienti. La carenza di fibre è dovuta alla difficoltà di inserire nella dieta cereali integrali. Non è comunque necessario assumere integratori di particolari nutrienti, se si segue una DSG varia ed equilibrata.</w:t>
      </w:r>
    </w:p>
    <w:p w:rsidR="007439D1" w:rsidRPr="007439D1" w:rsidRDefault="007439D1" w:rsidP="007439D1">
      <w:pPr>
        <w:spacing w:line="360" w:lineRule="auto"/>
        <w:rPr>
          <w:b/>
        </w:rPr>
      </w:pPr>
      <w:r w:rsidRPr="00111C14">
        <w:t>A fronte di un sospetto clinico l’ipotesi diagnostica di celiachia va approfondita attraverso le indagini sierologiche (</w:t>
      </w:r>
      <w:proofErr w:type="spellStart"/>
      <w:r w:rsidRPr="00111C14">
        <w:t>anti-tTG</w:t>
      </w:r>
      <w:proofErr w:type="spellEnd"/>
      <w:r w:rsidRPr="00111C14">
        <w:t xml:space="preserve">, EMA) e bioptiche prima che il paziente inizi la dieta senza glutine. </w:t>
      </w:r>
      <w:r w:rsidRPr="007439D1">
        <w:rPr>
          <w:b/>
        </w:rPr>
        <w:t>La semplice valutazione clinica dell’effetto della dieta impedisce nei fatti di porre o di escludere la diagnosi con certezza basandosi su elementi obiettivi, comporta un elevato rischio di errore, sia nel senso della sottovalutazione che della sopravalutazione della diagnosi, esponendo il paziente al rischio di sottoporsi a lungo termine a una restrizione dietetica non necessaria o al contrario a quello di non ricevere la diagnosi di certezza di celiachia in tempi brevi.</w:t>
      </w:r>
    </w:p>
    <w:p w:rsidR="007439D1" w:rsidRPr="00AC71B7" w:rsidRDefault="007439D1" w:rsidP="007439D1">
      <w:pPr>
        <w:spacing w:after="0"/>
        <w:ind w:left="708"/>
        <w:rPr>
          <w:b/>
          <w:sz w:val="18"/>
          <w:szCs w:val="18"/>
        </w:rPr>
      </w:pPr>
      <w:r w:rsidRPr="00AC71B7">
        <w:rPr>
          <w:b/>
          <w:sz w:val="18"/>
          <w:szCs w:val="18"/>
        </w:rPr>
        <w:t>Tabella 3</w:t>
      </w:r>
      <w:r>
        <w:rPr>
          <w:b/>
          <w:sz w:val="18"/>
          <w:szCs w:val="18"/>
        </w:rPr>
        <w:t>-4</w:t>
      </w:r>
    </w:p>
    <w:p w:rsidR="007439D1" w:rsidRDefault="007439D1" w:rsidP="007439D1">
      <w:pPr>
        <w:spacing w:after="0"/>
        <w:ind w:left="708"/>
      </w:pPr>
      <w:r>
        <w:rPr>
          <w:noProof/>
          <w:lang w:eastAsia="it-IT"/>
        </w:rPr>
        <w:drawing>
          <wp:inline distT="0" distB="0" distL="0" distR="0">
            <wp:extent cx="2632897" cy="2700068"/>
            <wp:effectExtent l="19050" t="0" r="0" b="0"/>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634519" cy="2701731"/>
                    </a:xfrm>
                    <a:prstGeom prst="rect">
                      <a:avLst/>
                    </a:prstGeom>
                    <a:noFill/>
                    <a:ln w="9525">
                      <a:noFill/>
                      <a:miter lim="800000"/>
                      <a:headEnd/>
                      <a:tailEnd/>
                    </a:ln>
                  </pic:spPr>
                </pic:pic>
              </a:graphicData>
            </a:graphic>
          </wp:inline>
        </w:drawing>
      </w:r>
      <w:r>
        <w:rPr>
          <w:noProof/>
          <w:lang w:eastAsia="it-IT"/>
        </w:rPr>
        <w:drawing>
          <wp:inline distT="0" distB="0" distL="0" distR="0">
            <wp:extent cx="2640637" cy="3200400"/>
            <wp:effectExtent l="19050" t="0" r="7313" b="0"/>
            <wp:docPr id="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2646557" cy="3207575"/>
                    </a:xfrm>
                    <a:prstGeom prst="rect">
                      <a:avLst/>
                    </a:prstGeom>
                    <a:noFill/>
                    <a:ln w="9525">
                      <a:noFill/>
                      <a:miter lim="800000"/>
                      <a:headEnd/>
                      <a:tailEnd/>
                    </a:ln>
                  </pic:spPr>
                </pic:pic>
              </a:graphicData>
            </a:graphic>
          </wp:inline>
        </w:drawing>
      </w:r>
    </w:p>
    <w:p w:rsidR="007439D1" w:rsidRDefault="007439D1" w:rsidP="007439D1">
      <w:pPr>
        <w:spacing w:after="0"/>
      </w:pPr>
    </w:p>
    <w:p w:rsidR="007439D1" w:rsidRDefault="007439D1" w:rsidP="007439D1">
      <w:pPr>
        <w:spacing w:after="0"/>
      </w:pPr>
    </w:p>
    <w:p w:rsidR="007439D1" w:rsidRPr="00AC71B7" w:rsidRDefault="007439D1" w:rsidP="001E6FB9">
      <w:pPr>
        <w:spacing w:line="360" w:lineRule="auto"/>
        <w:rPr>
          <w:b/>
          <w:sz w:val="28"/>
          <w:szCs w:val="28"/>
        </w:rPr>
      </w:pPr>
      <w:r w:rsidRPr="00AC71B7">
        <w:rPr>
          <w:b/>
          <w:sz w:val="28"/>
          <w:szCs w:val="28"/>
        </w:rPr>
        <w:lastRenderedPageBreak/>
        <w:t>CELIACHIA E FARMACI</w:t>
      </w:r>
    </w:p>
    <w:p w:rsidR="007439D1" w:rsidRDefault="007439D1" w:rsidP="001E6FB9">
      <w:pPr>
        <w:spacing w:line="360" w:lineRule="auto"/>
      </w:pPr>
      <w:r>
        <w:t>La farmacopea europea già a partire dal 1999 ha stabilito che utilizzo dell’amido di frumento c</w:t>
      </w:r>
      <w:r w:rsidR="001E6FB9">
        <w:t xml:space="preserve">ome eccipiente nella </w:t>
      </w:r>
      <w:proofErr w:type="spellStart"/>
      <w:r w:rsidR="001E6FB9">
        <w:t>preparazi</w:t>
      </w:r>
      <w:proofErr w:type="spellEnd"/>
      <w:r>
        <w:t xml:space="preserve"> ne di farmaci debba avvenire in misura non superiore allo 0,3%, dunque un quantitativo innocuo per i celiaci. Di recente, inoltre, il Ministero della</w:t>
      </w:r>
      <w:r w:rsidR="001E6FB9">
        <w:t xml:space="preserve"> Salute ha precisato l’opportu</w:t>
      </w:r>
      <w:r>
        <w:t>nità che il foglietto illustrativo dei medicinali contenga indicazioni chi</w:t>
      </w:r>
      <w:r w:rsidR="001E6FB9">
        <w:t>are circa la possibi</w:t>
      </w:r>
      <w:r>
        <w:t xml:space="preserve">lità per i celiaci di assumere il farmaco. Va sottolineato, tuttavia, che tale normativa vale solo per i farmaci in senso stretto e non per i cosiddetti parafarmaci come gli integratori alimentari o </w:t>
      </w:r>
      <w:r w:rsidR="001E6FB9">
        <w:t xml:space="preserve">i medicinali omeopatici o i </w:t>
      </w:r>
      <w:proofErr w:type="spellStart"/>
      <w:r w:rsidR="001E6FB9">
        <w:t>pr</w:t>
      </w:r>
      <w:proofErr w:type="spellEnd"/>
      <w:r>
        <w:t xml:space="preserve"> dotti venduti in erboristeria. Qualora, il fogliett</w:t>
      </w:r>
      <w:r w:rsidR="001E6FB9">
        <w:t>o illustrativo non faccia rife</w:t>
      </w:r>
      <w:r>
        <w:t>rimento al conte</w:t>
      </w:r>
      <w:r w:rsidR="001E6FB9">
        <w:t>nuto di glutine è possibile ac</w:t>
      </w:r>
      <w:r>
        <w:t xml:space="preserve">cedere al sito </w:t>
      </w:r>
      <w:r w:rsidR="001E6FB9">
        <w:t xml:space="preserve">della </w:t>
      </w:r>
      <w:proofErr w:type="spellStart"/>
      <w:r w:rsidR="001E6FB9">
        <w:t>Federfarma</w:t>
      </w:r>
      <w:proofErr w:type="spellEnd"/>
      <w:r w:rsidR="001E6FB9">
        <w:t xml:space="preserve"> (www.federfar</w:t>
      </w:r>
      <w:r>
        <w:t>ma.it) che è provvisto di un sistema di ricerca in grado, digitando il nome del farmaco, di fornire immediata</w:t>
      </w:r>
      <w:r w:rsidR="001E6FB9">
        <w:t>mente la risposta sull’eventua</w:t>
      </w:r>
      <w:r>
        <w:t>le contenuto di glutine nello stesso.</w:t>
      </w:r>
    </w:p>
    <w:p w:rsidR="007439D1" w:rsidRDefault="007439D1" w:rsidP="001E6FB9">
      <w:pPr>
        <w:spacing w:line="360" w:lineRule="auto"/>
      </w:pPr>
      <w:r>
        <w:t>Le tipologie di risposte fornite dal sistema sono le seguenti: senza gluti</w:t>
      </w:r>
      <w:r w:rsidR="001E6FB9">
        <w:t>ne: quando l’azienda produttri</w:t>
      </w:r>
      <w:r>
        <w:t>ce ha comunicato l’assenza di glutine; potenzialmente senza glutine: quando l’azienda produttrice non è in grado di escludere la presenza di glutine; contiene glutine: quando l’azienda produttrice ha comunicato la presenza di glutine.</w:t>
      </w:r>
    </w:p>
    <w:p w:rsidR="007439D1" w:rsidRDefault="007439D1" w:rsidP="001E6FB9">
      <w:pPr>
        <w:spacing w:line="360" w:lineRule="auto"/>
      </w:pPr>
      <w:r w:rsidRPr="00D955CA">
        <w:t>Per quanto concerne la legislazione attualmente in vigore, con il documento pubblicato nel febbraio 2004 il Ministero della Salute ha confermato di attuare le Norme Europee in mat</w:t>
      </w:r>
      <w:r w:rsidR="001E6FB9">
        <w:t>eria. A tale proposito il docu</w:t>
      </w:r>
      <w:r w:rsidRPr="00D955CA">
        <w:t>mento afferma e conferma che i limiti imposti attualment</w:t>
      </w:r>
      <w:r w:rsidR="001E6FB9">
        <w:t>e dalla Farmacopea Europea con</w:t>
      </w:r>
      <w:r w:rsidRPr="00D955CA">
        <w:t>sentono di considerare adatti ai soggetti affetti da celiachia (ovve</w:t>
      </w:r>
      <w:r w:rsidR="001E6FB9">
        <w:t>ro intolleranti al glutine) an</w:t>
      </w:r>
      <w:r w:rsidRPr="00D955CA">
        <w:t>che i medicinali contenenti amido di frumento</w:t>
      </w:r>
      <w:r>
        <w:t>.</w:t>
      </w:r>
      <w:r w:rsidR="001E6FB9">
        <w:t xml:space="preserve"> Q</w:t>
      </w:r>
      <w:r>
        <w:t xml:space="preserve">uando nella composizione </w:t>
      </w:r>
      <w:r w:rsidR="001E6FB9">
        <w:t>del farmaco sono presenti ecci</w:t>
      </w:r>
      <w:r>
        <w:t>pienti come l’amid</w:t>
      </w:r>
      <w:r w:rsidR="001E6FB9">
        <w:t xml:space="preserve">o </w:t>
      </w:r>
      <w:proofErr w:type="spellStart"/>
      <w:r w:rsidR="001E6FB9">
        <w:t>pregelatinizzato</w:t>
      </w:r>
      <w:proofErr w:type="spellEnd"/>
      <w:r w:rsidR="001E6FB9">
        <w:t xml:space="preserve">, </w:t>
      </w:r>
      <w:proofErr w:type="spellStart"/>
      <w:r w:rsidR="001E6FB9">
        <w:t>carbos</w:t>
      </w:r>
      <w:r>
        <w:t>simetilamido</w:t>
      </w:r>
      <w:proofErr w:type="spellEnd"/>
      <w:r>
        <w:t xml:space="preserve">, amido sodio glicolato oppure amido di frumento, essi non rappresentano un pericolo per il </w:t>
      </w:r>
      <w:r w:rsidR="001E6FB9">
        <w:t>soggetto celiaco. In particola</w:t>
      </w:r>
      <w:r>
        <w:t>re, il suddetto documento afferma inoltre che anche la quantità di glutine present</w:t>
      </w:r>
      <w:r w:rsidR="001E6FB9">
        <w:t>e in alcu</w:t>
      </w:r>
      <w:r>
        <w:t>ni farmaci come eccipiente non rappresenta un problema, considerando che l’amido di frumento può contenere al massimo 0,3% di proteine totali di cui circa il 40% corrisponde alla gliadina in 100 mg di amido di frumento ci sono 0,3 mg di proteine totali delle quali 0,12 mg di g</w:t>
      </w:r>
      <w:r w:rsidR="001E6FB9">
        <w:t>liadina (0,3 x 40% = 0,12) per</w:t>
      </w:r>
      <w:r>
        <w:t>tanto una compressa da 1 g può arrivare a contenere al massimo</w:t>
      </w:r>
      <w:r w:rsidR="001E6FB9">
        <w:t xml:space="preserve"> 0,156 mg di gliadina, </w:t>
      </w:r>
      <w:r>
        <w:t xml:space="preserve">quantità che è notevolmente inferiore a quella che potrebbe essere assunta con i prodotti </w:t>
      </w:r>
      <w:proofErr w:type="spellStart"/>
      <w:r>
        <w:t>dietoterapeutici</w:t>
      </w:r>
      <w:proofErr w:type="spellEnd"/>
      <w:r w:rsidR="001E6FB9">
        <w:t xml:space="preserve">. </w:t>
      </w:r>
      <w:r w:rsidRPr="00D955CA">
        <w:t>In caso di somministrazione cronica dei farmaci, meglio ricorrere se</w:t>
      </w:r>
      <w:r w:rsidR="001E6FB9">
        <w:t xml:space="preserve"> possibile a preparati privi di glutine.</w:t>
      </w:r>
    </w:p>
    <w:p w:rsidR="001E6FB9" w:rsidRDefault="001E6FB9" w:rsidP="009220D9">
      <w:pPr>
        <w:spacing w:line="360" w:lineRule="auto"/>
      </w:pPr>
    </w:p>
    <w:p w:rsidR="001E6FB9" w:rsidRDefault="001E6FB9" w:rsidP="009220D9">
      <w:pPr>
        <w:spacing w:line="360" w:lineRule="auto"/>
      </w:pPr>
    </w:p>
    <w:p w:rsidR="001E6FB9" w:rsidRDefault="001E6FB9" w:rsidP="009220D9">
      <w:pPr>
        <w:spacing w:line="360" w:lineRule="auto"/>
      </w:pPr>
    </w:p>
    <w:p w:rsidR="007439D1" w:rsidRPr="007439D1" w:rsidRDefault="00192530" w:rsidP="009220D9">
      <w:pPr>
        <w:spacing w:line="360" w:lineRule="auto"/>
      </w:pPr>
      <w:r>
        <w:rPr>
          <w:b/>
          <w:sz w:val="28"/>
          <w:szCs w:val="28"/>
        </w:rPr>
        <w:lastRenderedPageBreak/>
        <w:t>FOLLOW-UP</w:t>
      </w:r>
    </w:p>
    <w:p w:rsidR="00F94D0B" w:rsidRDefault="00F03539" w:rsidP="009220D9">
      <w:pPr>
        <w:spacing w:line="360" w:lineRule="auto"/>
      </w:pPr>
      <w:r>
        <w:t>Scopi principa</w:t>
      </w:r>
      <w:r w:rsidR="00F94D0B">
        <w:t>li del follow-up sono:</w:t>
      </w:r>
    </w:p>
    <w:p w:rsidR="00F94D0B" w:rsidRDefault="00F94D0B" w:rsidP="00F94D0B">
      <w:pPr>
        <w:pStyle w:val="Paragrafoelenco"/>
        <w:numPr>
          <w:ilvl w:val="0"/>
          <w:numId w:val="6"/>
        </w:numPr>
        <w:spacing w:line="360" w:lineRule="auto"/>
      </w:pPr>
      <w:r>
        <w:t xml:space="preserve">la </w:t>
      </w:r>
      <w:proofErr w:type="spellStart"/>
      <w:r>
        <w:t>veriﬁ</w:t>
      </w:r>
      <w:r w:rsidR="00F03539">
        <w:t>ca</w:t>
      </w:r>
      <w:proofErr w:type="spellEnd"/>
      <w:r w:rsidR="00F03539">
        <w:t xml:space="preserve"> di una stretta aderenza alla dieta </w:t>
      </w:r>
      <w:proofErr w:type="spellStart"/>
      <w:r w:rsidR="00F03539">
        <w:t>aglutinata</w:t>
      </w:r>
      <w:proofErr w:type="spellEnd"/>
      <w:r w:rsidR="00F03539">
        <w:t xml:space="preserve">, </w:t>
      </w:r>
      <w:r>
        <w:t>che tenga conto anche delle in</w:t>
      </w:r>
      <w:r w:rsidR="00F03539">
        <w:t>troduzioni involontarie di glutine per scarsa od errata informazione del paziente sul</w:t>
      </w:r>
      <w:r>
        <w:t>le misure dietetiche;</w:t>
      </w:r>
    </w:p>
    <w:p w:rsidR="00F94D0B" w:rsidRDefault="00F94D0B" w:rsidP="00F94D0B">
      <w:pPr>
        <w:pStyle w:val="Paragrafoelenco"/>
        <w:numPr>
          <w:ilvl w:val="0"/>
          <w:numId w:val="6"/>
        </w:numPr>
        <w:spacing w:line="360" w:lineRule="auto"/>
      </w:pPr>
      <w:r>
        <w:t>l’</w:t>
      </w:r>
      <w:proofErr w:type="spellStart"/>
      <w:r>
        <w:t>identiﬁ</w:t>
      </w:r>
      <w:r w:rsidR="00F03539">
        <w:t>cazione</w:t>
      </w:r>
      <w:proofErr w:type="spellEnd"/>
      <w:r w:rsidR="00F03539">
        <w:t xml:space="preserve"> di patologie autoimmuni associate, in modo particolare la tiroidite autoimmune d</w:t>
      </w:r>
      <w:r>
        <w:t xml:space="preserve">i </w:t>
      </w:r>
      <w:proofErr w:type="spellStart"/>
      <w:r>
        <w:t>Hashimoto</w:t>
      </w:r>
      <w:proofErr w:type="spellEnd"/>
      <w:r>
        <w:t xml:space="preserve"> sia in forma clini</w:t>
      </w:r>
      <w:r w:rsidR="00F03539">
        <w:t>ca che subclinica (con positività isolata per anticorpi antitiro</w:t>
      </w:r>
      <w:r>
        <w:t>idei, presenti ﬁno al 25% dei celiaci);</w:t>
      </w:r>
    </w:p>
    <w:p w:rsidR="00F94D0B" w:rsidRDefault="00F94D0B" w:rsidP="00F94D0B">
      <w:pPr>
        <w:pStyle w:val="Paragrafoelenco"/>
        <w:numPr>
          <w:ilvl w:val="0"/>
          <w:numId w:val="6"/>
        </w:numPr>
        <w:spacing w:line="360" w:lineRule="auto"/>
      </w:pPr>
      <w:r>
        <w:t>l’identificazione del</w:t>
      </w:r>
      <w:r w:rsidR="00F03539">
        <w:t xml:space="preserve">lo sviluppo </w:t>
      </w:r>
      <w:r>
        <w:t>di alterazioni metaboliche (</w:t>
      </w:r>
      <w:proofErr w:type="spellStart"/>
      <w:r>
        <w:t>di</w:t>
      </w:r>
      <w:r w:rsidR="00F03539">
        <w:t>slipidemia</w:t>
      </w:r>
      <w:proofErr w:type="spellEnd"/>
      <w:r w:rsidR="00F03539">
        <w:t xml:space="preserve">, iperglicemia, </w:t>
      </w:r>
      <w:proofErr w:type="spellStart"/>
      <w:r w:rsidR="00F03539">
        <w:t>steatoepatite</w:t>
      </w:r>
      <w:proofErr w:type="spellEnd"/>
      <w:r w:rsidR="00F03539">
        <w:t xml:space="preserve"> non alcoolica), in particolare ne</w:t>
      </w:r>
      <w:r>
        <w:t xml:space="preserve">i soggetti che aumentano </w:t>
      </w:r>
      <w:proofErr w:type="spellStart"/>
      <w:r>
        <w:t>signiﬁ</w:t>
      </w:r>
      <w:r w:rsidR="00F03539">
        <w:t>cativamente</w:t>
      </w:r>
      <w:proofErr w:type="spellEnd"/>
      <w:r w:rsidR="00F03539">
        <w:t xml:space="preserve"> di peso con la dieta senza glutine sia in relazione al migliorament</w:t>
      </w:r>
      <w:r>
        <w:t>o della funzione assorbente in</w:t>
      </w:r>
      <w:r w:rsidR="00F03539">
        <w:t>testinale che al ricco contenuto lipidico de</w:t>
      </w:r>
      <w:r>
        <w:t xml:space="preserve">i prodotti </w:t>
      </w:r>
      <w:proofErr w:type="spellStart"/>
      <w:r>
        <w:t>dietoterapeutici</w:t>
      </w:r>
      <w:proofErr w:type="spellEnd"/>
      <w:r>
        <w:t>;</w:t>
      </w:r>
    </w:p>
    <w:p w:rsidR="00F94D0B" w:rsidRDefault="00F03539" w:rsidP="00F94D0B">
      <w:pPr>
        <w:pStyle w:val="Paragrafoelenco"/>
        <w:numPr>
          <w:ilvl w:val="0"/>
          <w:numId w:val="6"/>
        </w:numPr>
        <w:spacing w:line="360" w:lineRule="auto"/>
      </w:pPr>
      <w:r>
        <w:t xml:space="preserve">la diagnosi </w:t>
      </w:r>
      <w:r w:rsidR="00F94D0B">
        <w:t>precoce dell’insorgenza di com</w:t>
      </w:r>
      <w:r>
        <w:t>plicanze (malat</w:t>
      </w:r>
      <w:r w:rsidR="00F94D0B">
        <w:t xml:space="preserve">tia celiaca refrattaria, </w:t>
      </w:r>
      <w:proofErr w:type="spellStart"/>
      <w:r w:rsidR="00F94D0B">
        <w:t>digiu</w:t>
      </w:r>
      <w:r>
        <w:t>noileite</w:t>
      </w:r>
      <w:proofErr w:type="spellEnd"/>
      <w:r>
        <w:t xml:space="preserve"> ulcerativa, sprue </w:t>
      </w:r>
      <w:proofErr w:type="spellStart"/>
      <w:r>
        <w:t>collagenosica</w:t>
      </w:r>
      <w:proofErr w:type="spellEnd"/>
      <w:r>
        <w:t>, linfoma intestinale, adenocarcinoma del- l’intestino tenue), in particolare negli adulti diagnosticati dopo i 50 anni con ricaduta positiva sull</w:t>
      </w:r>
      <w:r w:rsidR="00F94D0B">
        <w:t xml:space="preserve">e prospettive </w:t>
      </w:r>
      <w:proofErr w:type="spellStart"/>
      <w:r w:rsidR="00F94D0B">
        <w:t>prognostiche</w:t>
      </w:r>
      <w:proofErr w:type="spellEnd"/>
      <w:r w:rsidR="00F94D0B">
        <w:t xml:space="preserve"> gra</w:t>
      </w:r>
      <w:r>
        <w:t>zie ad una tempestiva terapia medica o a un</w:t>
      </w:r>
      <w:r w:rsidR="00F94D0B">
        <w:t xml:space="preserve"> rapido trattamento chirurgico.</w:t>
      </w:r>
    </w:p>
    <w:p w:rsidR="00F94D0B" w:rsidRDefault="00192530" w:rsidP="00F94D0B">
      <w:pPr>
        <w:spacing w:line="360" w:lineRule="auto"/>
      </w:pPr>
      <w:r w:rsidRPr="00192530">
        <w:t xml:space="preserve">Un </w:t>
      </w:r>
      <w:r w:rsidRPr="00F94D0B">
        <w:rPr>
          <w:b/>
        </w:rPr>
        <w:t>controllo entro 6-12 mesi dalla diagnosi e successivamente, ogni 1-2 anni</w:t>
      </w:r>
      <w:r w:rsidRPr="00192530">
        <w:t xml:space="preserve"> (salvo complicanze) è sufficiente per verificare la </w:t>
      </w:r>
      <w:proofErr w:type="spellStart"/>
      <w:r w:rsidRPr="00192530">
        <w:t>compliance</w:t>
      </w:r>
      <w:proofErr w:type="spellEnd"/>
      <w:r w:rsidRPr="00192530">
        <w:t xml:space="preserve"> alla dieta senza glutine (DSG), verifica</w:t>
      </w:r>
      <w:r w:rsidR="00F94D0B">
        <w:t>re la comparsa di malattie auto</w:t>
      </w:r>
      <w:r w:rsidRPr="00192530">
        <w:t xml:space="preserve">immuni e/o alterazioni metaboliche (che possono comparire anche in soggetti celiaci trattati) e soprattutto, diagnosticare precocemente la comparsa di complicanze.  Ad ogni controllo, il soggetto celiaco dovrebbe essere sottoposto a: visita medica, valutazione dietetica, controllo dell’emocromo, dosaggio anticorpi serici </w:t>
      </w:r>
      <w:proofErr w:type="spellStart"/>
      <w:r w:rsidRPr="00192530">
        <w:t>anti-transglutaminasi</w:t>
      </w:r>
      <w:proofErr w:type="spellEnd"/>
      <w:r w:rsidR="007E566B">
        <w:t xml:space="preserve">.(per verificare la </w:t>
      </w:r>
      <w:proofErr w:type="spellStart"/>
      <w:r w:rsidR="007E566B">
        <w:t>compliance</w:t>
      </w:r>
      <w:proofErr w:type="spellEnd"/>
      <w:r w:rsidR="007E566B">
        <w:t xml:space="preserve"> alla dieta)</w:t>
      </w:r>
      <w:r w:rsidRPr="00192530">
        <w:t xml:space="preserve"> di classe </w:t>
      </w:r>
      <w:proofErr w:type="spellStart"/>
      <w:r w:rsidRPr="00192530">
        <w:t>IgA</w:t>
      </w:r>
      <w:proofErr w:type="spellEnd"/>
      <w:r w:rsidRPr="00192530">
        <w:t xml:space="preserve"> (o </w:t>
      </w:r>
      <w:proofErr w:type="spellStart"/>
      <w:r w:rsidRPr="00192530">
        <w:t>IgG</w:t>
      </w:r>
      <w:proofErr w:type="spellEnd"/>
      <w:r w:rsidRPr="00192530">
        <w:t xml:space="preserve"> se vi è deficit delle </w:t>
      </w:r>
      <w:proofErr w:type="spellStart"/>
      <w:r w:rsidRPr="00192530">
        <w:t>IgA</w:t>
      </w:r>
      <w:proofErr w:type="spellEnd"/>
      <w:r w:rsidRPr="00192530">
        <w:t>) e TSH</w:t>
      </w:r>
      <w:r w:rsidR="00F03539">
        <w:t xml:space="preserve"> per verificare lo sviluppo di distiroidismo</w:t>
      </w:r>
      <w:r w:rsidRPr="00192530">
        <w:t>.</w:t>
      </w:r>
    </w:p>
    <w:p w:rsidR="00F94D0B" w:rsidRDefault="007E566B" w:rsidP="00F94D0B">
      <w:pPr>
        <w:spacing w:line="360" w:lineRule="auto"/>
      </w:pPr>
      <w:r w:rsidRPr="007E566B">
        <w:t xml:space="preserve">Un altro marcatore </w:t>
      </w:r>
      <w:proofErr w:type="spellStart"/>
      <w:r w:rsidRPr="007E566B">
        <w:t>anticorpale</w:t>
      </w:r>
      <w:proofErr w:type="spellEnd"/>
      <w:r w:rsidRPr="007E566B">
        <w:t xml:space="preserve"> promettente per controllare l’aderenza alla dieta sembra essere l’anticorpo diretto verso i peptidi </w:t>
      </w:r>
      <w:proofErr w:type="spellStart"/>
      <w:r w:rsidRPr="007E566B">
        <w:t>deamidati</w:t>
      </w:r>
      <w:proofErr w:type="spellEnd"/>
      <w:r w:rsidRPr="007E566B">
        <w:t xml:space="preserve"> di gliadina (DGP-AGA) di classe </w:t>
      </w:r>
      <w:proofErr w:type="spellStart"/>
      <w:r w:rsidRPr="007E566B">
        <w:t>IgG</w:t>
      </w:r>
      <w:proofErr w:type="spellEnd"/>
      <w:r w:rsidRPr="007E566B">
        <w:t xml:space="preserve">, utile a tal scopo sia nei soggetti con </w:t>
      </w:r>
      <w:proofErr w:type="spellStart"/>
      <w:r w:rsidRPr="007E566B">
        <w:t>IgA</w:t>
      </w:r>
      <w:proofErr w:type="spellEnd"/>
      <w:r w:rsidRPr="007E566B">
        <w:t xml:space="preserve"> </w:t>
      </w:r>
      <w:proofErr w:type="spellStart"/>
      <w:r w:rsidRPr="007E566B">
        <w:t>sieriche</w:t>
      </w:r>
      <w:proofErr w:type="spellEnd"/>
      <w:r w:rsidRPr="007E566B">
        <w:t xml:space="preserve"> </w:t>
      </w:r>
      <w:r w:rsidR="00F94D0B">
        <w:t xml:space="preserve">normali che con </w:t>
      </w:r>
      <w:proofErr w:type="spellStart"/>
      <w:r w:rsidR="00F94D0B">
        <w:t>deﬁcit</w:t>
      </w:r>
      <w:proofErr w:type="spellEnd"/>
      <w:r w:rsidR="00F94D0B">
        <w:t xml:space="preserve"> di </w:t>
      </w:r>
      <w:proofErr w:type="spellStart"/>
      <w:r w:rsidR="00F94D0B">
        <w:t>IgA</w:t>
      </w:r>
      <w:proofErr w:type="spellEnd"/>
      <w:r w:rsidR="00F94D0B">
        <w:t>.</w:t>
      </w:r>
    </w:p>
    <w:p w:rsidR="00192530" w:rsidRDefault="00192530" w:rsidP="00F94D0B">
      <w:pPr>
        <w:spacing w:after="0" w:line="360" w:lineRule="auto"/>
      </w:pPr>
      <w:r w:rsidRPr="00192530">
        <w:t xml:space="preserve">Altri esami strumentali e specialistici vanno effettuati se la valutazione clinica lo consiglia. Nell’adulto, la densitometria ossea andrebbe eseguita di routine una volta almeno, dopo 18 mesi di dieta senza glutine e ripetuta periodicamente su indicazione del curante, solo se patologica o </w:t>
      </w:r>
      <w:r>
        <w:t>vi sono indicazioni cliniche.</w:t>
      </w:r>
    </w:p>
    <w:p w:rsidR="007E566B" w:rsidRDefault="00F94D0B" w:rsidP="007439D1">
      <w:pPr>
        <w:spacing w:line="360" w:lineRule="auto"/>
      </w:pPr>
      <w:r>
        <w:t>L’</w:t>
      </w:r>
      <w:proofErr w:type="spellStart"/>
      <w:r>
        <w:t>ecograﬁ</w:t>
      </w:r>
      <w:r w:rsidR="007E566B" w:rsidRPr="007E566B">
        <w:t>a</w:t>
      </w:r>
      <w:proofErr w:type="spellEnd"/>
      <w:r w:rsidR="007E566B" w:rsidRPr="007E566B">
        <w:t xml:space="preserve"> addominale e tiroidea andranno eseguite solo se clinicamente opportuno, così come, limitatamente agli adulti, sono indicate, in caso di sospetta complicanza neoplastica (in particolare </w:t>
      </w:r>
      <w:r>
        <w:t>linfoma intestinale) o non neo</w:t>
      </w:r>
      <w:r w:rsidR="007E566B" w:rsidRPr="007E566B">
        <w:t>plastica (</w:t>
      </w:r>
      <w:proofErr w:type="spellStart"/>
      <w:r w:rsidR="007E566B" w:rsidRPr="007E566B">
        <w:t>digiunoileite</w:t>
      </w:r>
      <w:proofErr w:type="spellEnd"/>
      <w:r w:rsidR="007E566B" w:rsidRPr="007E566B">
        <w:t xml:space="preserve"> ulcerativa, sprue colla- </w:t>
      </w:r>
      <w:proofErr w:type="spellStart"/>
      <w:r w:rsidR="007E566B" w:rsidRPr="007E566B">
        <w:t>genosica</w:t>
      </w:r>
      <w:proofErr w:type="spellEnd"/>
      <w:r w:rsidR="007E566B" w:rsidRPr="007E566B">
        <w:t>, malatti</w:t>
      </w:r>
      <w:r>
        <w:t xml:space="preserve">a celiaca refrattaria), </w:t>
      </w:r>
      <w:r>
        <w:lastRenderedPageBreak/>
        <w:t>indagi</w:t>
      </w:r>
      <w:r w:rsidR="007E566B" w:rsidRPr="007E566B">
        <w:t>ni strumentali “vecchie” e “nuove” fra cui l’</w:t>
      </w:r>
      <w:proofErr w:type="spellStart"/>
      <w:r w:rsidR="007E566B" w:rsidRPr="007E566B">
        <w:t>rx</w:t>
      </w:r>
      <w:proofErr w:type="spellEnd"/>
      <w:r w:rsidR="007E566B" w:rsidRPr="007E566B">
        <w:t xml:space="preserve"> clisma (o pasto f</w:t>
      </w:r>
      <w:r>
        <w:t>razionato) del tenue, l’</w:t>
      </w:r>
      <w:proofErr w:type="spellStart"/>
      <w:r>
        <w:t>entero</w:t>
      </w:r>
      <w:r w:rsidR="007E566B" w:rsidRPr="007E566B">
        <w:t>scopia</w:t>
      </w:r>
      <w:proofErr w:type="spellEnd"/>
      <w:r w:rsidR="007E566B" w:rsidRPr="007E566B">
        <w:t xml:space="preserve">, la </w:t>
      </w:r>
      <w:proofErr w:type="spellStart"/>
      <w:r w:rsidR="007E566B" w:rsidRPr="007E566B">
        <w:t>videocapsula</w:t>
      </w:r>
      <w:proofErr w:type="spellEnd"/>
      <w:r w:rsidR="007E566B" w:rsidRPr="007E566B">
        <w:t xml:space="preserve">, la </w:t>
      </w:r>
      <w:proofErr w:type="spellStart"/>
      <w:r w:rsidR="007E566B" w:rsidRPr="007E566B">
        <w:t>tomograﬁ</w:t>
      </w:r>
      <w:proofErr w:type="spellEnd"/>
      <w:r w:rsidR="007E566B" w:rsidRPr="007E566B">
        <w:t xml:space="preserve"> a assiale computerizzata ad alta risoluzione.</w:t>
      </w:r>
    </w:p>
    <w:p w:rsidR="007E566B" w:rsidRDefault="007E566B" w:rsidP="007439D1">
      <w:pPr>
        <w:spacing w:line="360" w:lineRule="auto"/>
      </w:pPr>
      <w:r w:rsidRPr="007E566B">
        <w:t>Per quanto r</w:t>
      </w:r>
      <w:r w:rsidR="007439D1">
        <w:t>iguarda le consulenze speciali</w:t>
      </w:r>
      <w:r w:rsidRPr="007E566B">
        <w:t>stiche, non biso</w:t>
      </w:r>
      <w:r w:rsidR="007439D1">
        <w:t>gna esitare a ricorrervi se su</w:t>
      </w:r>
      <w:r w:rsidRPr="007E566B">
        <w:t xml:space="preserve">bentrano problemi </w:t>
      </w:r>
      <w:r w:rsidR="007439D1">
        <w:t>clinici rilevanti. Infatti, an</w:t>
      </w:r>
      <w:r w:rsidRPr="007E566B">
        <w:t>che se è ampiamente documentato che oltre l’80% dei celiaci non presenterà altri problemi al di fuori dell’in</w:t>
      </w:r>
      <w:r w:rsidR="007439D1">
        <w:t>teressamento intestinale, i re</w:t>
      </w:r>
      <w:r w:rsidRPr="007E566B">
        <w:t xml:space="preserve">stanti casi possono lamentare problematiche neurologiche, psicologiche, reumatologiche, </w:t>
      </w:r>
      <w:proofErr w:type="spellStart"/>
      <w:r w:rsidRPr="007E566B">
        <w:t>odontostoma</w:t>
      </w:r>
      <w:r w:rsidR="007439D1">
        <w:t>tologiche</w:t>
      </w:r>
      <w:proofErr w:type="spellEnd"/>
      <w:r w:rsidR="007439D1">
        <w:t>, cardiologiche ed im</w:t>
      </w:r>
      <w:r w:rsidRPr="007E566B">
        <w:t>munologiche, che andranno inquadrate con le relative consulenze da parte di esperti di questi settori.</w:t>
      </w:r>
    </w:p>
    <w:p w:rsidR="00192530" w:rsidRDefault="00192530" w:rsidP="009220D9">
      <w:pPr>
        <w:spacing w:line="360" w:lineRule="auto"/>
        <w:rPr>
          <w:b/>
          <w:sz w:val="28"/>
          <w:szCs w:val="28"/>
        </w:rPr>
      </w:pPr>
      <w:r w:rsidRPr="00192530">
        <w:rPr>
          <w:b/>
          <w:sz w:val="28"/>
          <w:szCs w:val="28"/>
        </w:rPr>
        <w:t>LE COMPLICANZE</w:t>
      </w:r>
    </w:p>
    <w:p w:rsidR="00192530" w:rsidRDefault="00192530" w:rsidP="009220D9">
      <w:pPr>
        <w:spacing w:line="360" w:lineRule="auto"/>
      </w:pPr>
      <w:r w:rsidRPr="00192530">
        <w:t>Si tratta di rare situazioni che occorrono in circa il 5% dei pazienti e che peggiorano, in misura spesso irreversibi</w:t>
      </w:r>
      <w:r>
        <w:t>le, il decorso clinico della malattia.</w:t>
      </w:r>
      <w:r w:rsidRPr="00192530">
        <w:t xml:space="preserve"> È opportuno chiarire che, nella quasi totalità dei casi, riguardano la forma dell'adulto, cioè adulti diagnosticati in età adulta e non pazienti in età pediatrica o pazienti adulti diagnosticati in età pediatrica e da allora in dieta </w:t>
      </w:r>
      <w:proofErr w:type="spellStart"/>
      <w:r w:rsidRPr="00192530">
        <w:t>aglutinata</w:t>
      </w:r>
      <w:proofErr w:type="spellEnd"/>
      <w:r w:rsidRPr="00192530">
        <w:t xml:space="preserve">. A conferma, solo per la forma dell'adulto è stata ripetutamente riportata una mortalità significativamente superiore a quella della popolazione generale. Fattori predisponenti allo sviluppo di complicanze sono rappresentati da una diagnosi tardiva e/o da una insufficiente </w:t>
      </w:r>
      <w:proofErr w:type="spellStart"/>
      <w:r w:rsidRPr="00192530">
        <w:t>compliance</w:t>
      </w:r>
      <w:proofErr w:type="spellEnd"/>
      <w:r w:rsidRPr="00192530">
        <w:t xml:space="preserve"> alla dieta </w:t>
      </w:r>
      <w:proofErr w:type="spellStart"/>
      <w:r w:rsidR="007439D1">
        <w:t>a</w:t>
      </w:r>
      <w:r w:rsidR="00F03539">
        <w:t>glutinata</w:t>
      </w:r>
      <w:proofErr w:type="spellEnd"/>
      <w:r w:rsidR="00F03539">
        <w:t>. Le complicanze principali sono rappresentate da:</w:t>
      </w:r>
    </w:p>
    <w:p w:rsidR="0053191D" w:rsidRDefault="00F03539" w:rsidP="009220D9">
      <w:pPr>
        <w:pStyle w:val="Paragrafoelenco"/>
        <w:numPr>
          <w:ilvl w:val="0"/>
          <w:numId w:val="3"/>
        </w:numPr>
        <w:spacing w:line="360" w:lineRule="auto"/>
      </w:pPr>
      <w:r>
        <w:rPr>
          <w:b/>
        </w:rPr>
        <w:t>C</w:t>
      </w:r>
      <w:r w:rsidRPr="00F03539">
        <w:rPr>
          <w:b/>
        </w:rPr>
        <w:t>eliachia refrattaria</w:t>
      </w:r>
      <w:r>
        <w:t>: è</w:t>
      </w:r>
      <w:r w:rsidR="0053191D">
        <w:t xml:space="preserve"> </w:t>
      </w:r>
      <w:r w:rsidRPr="00F03539">
        <w:t>caratterizzata da una mancata risposta istologica, e quindi clinica, dopo 12 mesi di esclusione del glutine dalla dieta</w:t>
      </w:r>
      <w:r>
        <w:t>. L</w:t>
      </w:r>
      <w:r w:rsidRPr="00F03539">
        <w:t>a persistenza o la ricomparsa, dopo dieta, dei sol</w:t>
      </w:r>
      <w:r>
        <w:t>i sintomi non è indicativa di celiachia</w:t>
      </w:r>
      <w:r w:rsidRPr="00F03539">
        <w:t xml:space="preserve"> refrattaria. La presenza di diarrea, ad esempio, può dipendere dall</w:t>
      </w:r>
      <w:r>
        <w:t>a frequente associazione alla malattia</w:t>
      </w:r>
      <w:r w:rsidRPr="00F03539">
        <w:t xml:space="preserve"> di altre condizioni, quali deficit di lattasi, colite microscopica, insufficienza pancreatica, diabete, che, poiché non glutine-sensibili, non rispondono alla dieta </w:t>
      </w:r>
      <w:proofErr w:type="spellStart"/>
      <w:r w:rsidRPr="00F03539">
        <w:t>aglutinata</w:t>
      </w:r>
      <w:proofErr w:type="spellEnd"/>
      <w:r w:rsidRPr="00F03539">
        <w:t xml:space="preserve">. Il </w:t>
      </w:r>
      <w:proofErr w:type="spellStart"/>
      <w:r w:rsidRPr="00F03539">
        <w:t>marker</w:t>
      </w:r>
      <w:proofErr w:type="spellEnd"/>
      <w:r w:rsidRPr="00F03539">
        <w:t xml:space="preserve"> dell</w:t>
      </w:r>
      <w:r>
        <w:t xml:space="preserve">a forma refrattaria è, invece, </w:t>
      </w:r>
      <w:r w:rsidRPr="00F03539">
        <w:t xml:space="preserve">costituito dalle lesioni intestinali, ma anche in loro presenza la refrattarietà può essere solo apparente e simulata da (i) una scadente aderenza (consapevole o inconsapevole) alla dieta </w:t>
      </w:r>
      <w:proofErr w:type="spellStart"/>
      <w:r w:rsidRPr="00F03539">
        <w:t>aglutinata</w:t>
      </w:r>
      <w:proofErr w:type="spellEnd"/>
      <w:r w:rsidRPr="00F03539">
        <w:t>, da (</w:t>
      </w:r>
      <w:proofErr w:type="spellStart"/>
      <w:r w:rsidRPr="00F03539">
        <w:t>ii</w:t>
      </w:r>
      <w:proofErr w:type="spellEnd"/>
      <w:r w:rsidRPr="00F03539">
        <w:t>) un miglioramento tardivo e pertanto non evidente dopo un anno di dieta, da (</w:t>
      </w:r>
      <w:proofErr w:type="spellStart"/>
      <w:r w:rsidRPr="00F03539">
        <w:t>iii</w:t>
      </w:r>
      <w:proofErr w:type="spellEnd"/>
      <w:r w:rsidRPr="00F03539">
        <w:t>) un errore nell'interpretazione della prima biopsia legato ad artefatti te</w:t>
      </w:r>
      <w:r>
        <w:t>cnici o all'aver scambiato la malattia celiaca</w:t>
      </w:r>
      <w:r w:rsidRPr="00F03539">
        <w:t xml:space="preserve"> con altre condizioni non glutine- sensibili, ma anch'esse caratterizzate da atrofia dei villi, quali l'enteropatia autoimmune, l'enteropatia da </w:t>
      </w:r>
      <w:proofErr w:type="spellStart"/>
      <w:r w:rsidRPr="00F03539">
        <w:t>Olmesartan</w:t>
      </w:r>
      <w:proofErr w:type="spellEnd"/>
      <w:r w:rsidRPr="00F03539">
        <w:t>, l'</w:t>
      </w:r>
      <w:proofErr w:type="spellStart"/>
      <w:r w:rsidRPr="00F03539">
        <w:t>immunodeficit</w:t>
      </w:r>
      <w:proofErr w:type="spellEnd"/>
      <w:r w:rsidRPr="00F03539">
        <w:t xml:space="preserve"> comune variabile o, meno frequentemente, la giardiasi o l'enteropatia da HIV. In queste condizioni la negatività</w:t>
      </w:r>
      <w:r w:rsidR="001E6FB9">
        <w:t xml:space="preserve"> degli anticorpi propri della malattia celiaca</w:t>
      </w:r>
      <w:r w:rsidRPr="00F03539">
        <w:t xml:space="preserve">, la positività di esami particolari, quali gli anticorpi </w:t>
      </w:r>
      <w:proofErr w:type="spellStart"/>
      <w:r w:rsidRPr="00F03539">
        <w:t>antienterocita</w:t>
      </w:r>
      <w:proofErr w:type="spellEnd"/>
      <w:r w:rsidRPr="00F03539">
        <w:t xml:space="preserve"> nel caso dell'enteropatia autoimmune, e la raccolta di un'attenta storia clinica consentono la loro differenziazione dalla MC refrattaria.</w:t>
      </w:r>
      <w:r w:rsidR="0053191D">
        <w:t xml:space="preserve"> </w:t>
      </w:r>
      <w:r w:rsidR="0053191D" w:rsidRPr="0053191D">
        <w:t>Ad oggi è possibile distin</w:t>
      </w:r>
      <w:r w:rsidR="0053191D">
        <w:t>guere due forme di malattia ce</w:t>
      </w:r>
      <w:r w:rsidR="0053191D" w:rsidRPr="0053191D">
        <w:t>liaca refrattaria</w:t>
      </w:r>
      <w:r w:rsidR="0053191D">
        <w:t xml:space="preserve"> (Tabella2).</w:t>
      </w:r>
    </w:p>
    <w:p w:rsidR="0053191D" w:rsidRDefault="0053191D" w:rsidP="009220D9">
      <w:pPr>
        <w:pStyle w:val="Paragrafoelenco"/>
        <w:numPr>
          <w:ilvl w:val="0"/>
          <w:numId w:val="3"/>
        </w:numPr>
        <w:spacing w:line="360" w:lineRule="auto"/>
      </w:pPr>
      <w:proofErr w:type="spellStart"/>
      <w:r w:rsidRPr="0053191D">
        <w:rPr>
          <w:b/>
        </w:rPr>
        <w:lastRenderedPageBreak/>
        <w:t>Digiunoileite</w:t>
      </w:r>
      <w:proofErr w:type="spellEnd"/>
      <w:r w:rsidRPr="0053191D">
        <w:rPr>
          <w:b/>
        </w:rPr>
        <w:t xml:space="preserve"> ulcerativa</w:t>
      </w:r>
      <w:r>
        <w:t xml:space="preserve">: </w:t>
      </w:r>
      <w:r w:rsidRPr="0053191D">
        <w:t>è una grave ma rara complicanza della malattia celia</w:t>
      </w:r>
      <w:r>
        <w:t>ca. È carat</w:t>
      </w:r>
      <w:r w:rsidRPr="0053191D">
        <w:t>terizzata da ulcere</w:t>
      </w:r>
      <w:r>
        <w:t xml:space="preserve"> trasversali dell’intestino te</w:t>
      </w:r>
      <w:r w:rsidRPr="0053191D">
        <w:t>nue a cui consegue una retrazione cicatriziale frequentemente c</w:t>
      </w:r>
      <w:r>
        <w:t>ausa di stenosi del tratto col</w:t>
      </w:r>
      <w:r w:rsidRPr="0053191D">
        <w:t xml:space="preserve">pito. </w:t>
      </w:r>
      <w:proofErr w:type="spellStart"/>
      <w:r w:rsidRPr="0053191D">
        <w:t>Istologicamen</w:t>
      </w:r>
      <w:r>
        <w:t>te</w:t>
      </w:r>
      <w:proofErr w:type="spellEnd"/>
      <w:r>
        <w:t xml:space="preserve"> le lesioni presentano un </w:t>
      </w:r>
      <w:proofErr w:type="spellStart"/>
      <w:r>
        <w:t>inﬁltrato</w:t>
      </w:r>
      <w:proofErr w:type="spellEnd"/>
      <w:r>
        <w:t xml:space="preserve"> inﬁ </w:t>
      </w:r>
      <w:proofErr w:type="spellStart"/>
      <w:r>
        <w:t>ammatorio</w:t>
      </w:r>
      <w:proofErr w:type="spellEnd"/>
      <w:r>
        <w:t xml:space="preserve"> </w:t>
      </w:r>
      <w:proofErr w:type="spellStart"/>
      <w:r>
        <w:t>aspeciﬁco</w:t>
      </w:r>
      <w:proofErr w:type="spellEnd"/>
      <w:r>
        <w:t xml:space="preserve"> ed un’atroﬁ</w:t>
      </w:r>
      <w:r w:rsidRPr="0053191D">
        <w:t>a dei villi di grado variabile. La mortalità supera il 70% ed è dovuta ad occlusioni intestinali,</w:t>
      </w:r>
      <w:r>
        <w:t xml:space="preserve"> perforazioni ed emorragie.</w:t>
      </w:r>
    </w:p>
    <w:p w:rsidR="0053191D" w:rsidRDefault="0053191D" w:rsidP="009220D9">
      <w:pPr>
        <w:pStyle w:val="Paragrafoelenco"/>
        <w:numPr>
          <w:ilvl w:val="0"/>
          <w:numId w:val="3"/>
        </w:numPr>
        <w:spacing w:line="360" w:lineRule="auto"/>
      </w:pPr>
      <w:r w:rsidRPr="0053191D">
        <w:rPr>
          <w:b/>
        </w:rPr>
        <w:t>Linfoma intestinale</w:t>
      </w:r>
      <w:r>
        <w:t xml:space="preserve">: </w:t>
      </w:r>
      <w:r w:rsidRPr="0053191D">
        <w:t>è la complicanza più rilevante per frequenza e gravità. Si tratta di un linfoma a cellule T associato</w:t>
      </w:r>
      <w:r>
        <w:t xml:space="preserve"> ad entero</w:t>
      </w:r>
      <w:r w:rsidRPr="0053191D">
        <w:t>patia, ad alto grado, che insorge spesso tra la quinta e la settima decade di vita. Il quadro clinico, nella m</w:t>
      </w:r>
      <w:r>
        <w:t>aggior parte dei casi, è carat</w:t>
      </w:r>
      <w:r w:rsidRPr="0053191D">
        <w:t>terizzato da</w:t>
      </w:r>
      <w:r>
        <w:t xml:space="preserve"> dolore addominale, calo ponder</w:t>
      </w:r>
      <w:r w:rsidRPr="0053191D">
        <w:t>ale, febbre e diarrea; in altri casi l’esordio è acuto con occlu</w:t>
      </w:r>
      <w:r>
        <w:t>sione o perforazione intestina</w:t>
      </w:r>
      <w:r w:rsidRPr="0053191D">
        <w:t>le.</w:t>
      </w:r>
    </w:p>
    <w:p w:rsidR="0053191D" w:rsidRDefault="0053191D" w:rsidP="009220D9">
      <w:pPr>
        <w:pStyle w:val="Paragrafoelenco"/>
        <w:numPr>
          <w:ilvl w:val="0"/>
          <w:numId w:val="3"/>
        </w:numPr>
        <w:spacing w:line="360" w:lineRule="auto"/>
      </w:pPr>
      <w:r w:rsidRPr="0053191D">
        <w:t>Altre complicanze neoplasti</w:t>
      </w:r>
      <w:r>
        <w:t xml:space="preserve">che: </w:t>
      </w:r>
      <w:r w:rsidRPr="0053191D">
        <w:t xml:space="preserve">il </w:t>
      </w:r>
      <w:r w:rsidRPr="0053191D">
        <w:rPr>
          <w:b/>
        </w:rPr>
        <w:t>carcinoma a cellule squamose del faringe e dell’esofago</w:t>
      </w:r>
      <w:r w:rsidRPr="0053191D">
        <w:t xml:space="preserve"> e </w:t>
      </w:r>
      <w:r w:rsidRPr="0053191D">
        <w:rPr>
          <w:b/>
        </w:rPr>
        <w:t>l’adenocarcinoma del tenue</w:t>
      </w:r>
      <w:r>
        <w:t>.</w:t>
      </w:r>
    </w:p>
    <w:p w:rsidR="0053191D" w:rsidRDefault="0053191D" w:rsidP="009220D9">
      <w:pPr>
        <w:pStyle w:val="Paragrafoelenco"/>
        <w:numPr>
          <w:ilvl w:val="0"/>
          <w:numId w:val="3"/>
        </w:numPr>
        <w:spacing w:line="360" w:lineRule="auto"/>
      </w:pPr>
      <w:proofErr w:type="spellStart"/>
      <w:r>
        <w:rPr>
          <w:b/>
        </w:rPr>
        <w:t>I</w:t>
      </w:r>
      <w:r w:rsidRPr="0053191D">
        <w:rPr>
          <w:b/>
        </w:rPr>
        <w:t>posplenismo</w:t>
      </w:r>
      <w:proofErr w:type="spellEnd"/>
      <w:r>
        <w:t xml:space="preserve">: </w:t>
      </w:r>
      <w:r w:rsidRPr="0053191D">
        <w:t xml:space="preserve">potenzialmente responsabile di infezioni a decorso fatale, non complica la malattia celiaca dell’infanzia, e nell’adulto la sua incidenza è direttamente correlata con l’età alla diagnosi, cioè con la durata della </w:t>
      </w:r>
      <w:proofErr w:type="spellStart"/>
      <w:r w:rsidRPr="0053191D">
        <w:t>pre-esposizione</w:t>
      </w:r>
      <w:proofErr w:type="spellEnd"/>
      <w:r w:rsidRPr="0053191D">
        <w:t xml:space="preserve"> al glutine. In pazienti celiaci adulti sono stati riscontrati un rischio di sepsi </w:t>
      </w:r>
      <w:proofErr w:type="spellStart"/>
      <w:r w:rsidRPr="0053191D">
        <w:t>pneumococcica</w:t>
      </w:r>
      <w:proofErr w:type="spellEnd"/>
      <w:r w:rsidRPr="0053191D">
        <w:t xml:space="preserve"> e una mortali</w:t>
      </w:r>
      <w:r>
        <w:t xml:space="preserve">tà per cause in- </w:t>
      </w:r>
      <w:proofErr w:type="spellStart"/>
      <w:r>
        <w:t>fettive</w:t>
      </w:r>
      <w:proofErr w:type="spellEnd"/>
      <w:r>
        <w:t xml:space="preserve"> </w:t>
      </w:r>
      <w:proofErr w:type="spellStart"/>
      <w:r>
        <w:t>signiﬁ</w:t>
      </w:r>
      <w:r w:rsidRPr="0053191D">
        <w:t>cativamente</w:t>
      </w:r>
      <w:proofErr w:type="spellEnd"/>
      <w:r w:rsidRPr="0053191D">
        <w:t xml:space="preserve"> aumentati. Ciò porta a concludere che </w:t>
      </w:r>
      <w:r>
        <w:t>nei celiaci adulti l’</w:t>
      </w:r>
      <w:proofErr w:type="spellStart"/>
      <w:r>
        <w:t>ipospleni</w:t>
      </w:r>
      <w:r w:rsidRPr="0053191D">
        <w:t>smo</w:t>
      </w:r>
      <w:proofErr w:type="spellEnd"/>
      <w:r w:rsidRPr="0053191D">
        <w:t xml:space="preserve"> dovrebbe essere sempre ricercato e che pazienti iposplen</w:t>
      </w:r>
      <w:r w:rsidR="00D13636">
        <w:t>ici vengano sottoposti a vacci</w:t>
      </w:r>
      <w:r w:rsidRPr="0053191D">
        <w:t xml:space="preserve">nazione </w:t>
      </w:r>
      <w:proofErr w:type="spellStart"/>
      <w:r w:rsidRPr="0053191D">
        <w:t>antipneumococcica</w:t>
      </w:r>
      <w:proofErr w:type="spellEnd"/>
      <w:r w:rsidR="00D13636">
        <w:t>.</w:t>
      </w:r>
    </w:p>
    <w:p w:rsidR="001E6FB9" w:rsidRDefault="00D13636" w:rsidP="008A44EE">
      <w:pPr>
        <w:pStyle w:val="Paragrafoelenco"/>
        <w:numPr>
          <w:ilvl w:val="0"/>
          <w:numId w:val="3"/>
        </w:numPr>
        <w:spacing w:line="360" w:lineRule="auto"/>
      </w:pPr>
      <w:r w:rsidRPr="00D13636">
        <w:rPr>
          <w:b/>
        </w:rPr>
        <w:t xml:space="preserve">Sprue </w:t>
      </w:r>
      <w:proofErr w:type="spellStart"/>
      <w:r>
        <w:rPr>
          <w:b/>
        </w:rPr>
        <w:t>collagenosica</w:t>
      </w:r>
      <w:proofErr w:type="spellEnd"/>
      <w:r>
        <w:t>: è caratteriz</w:t>
      </w:r>
      <w:r w:rsidRPr="00D13636">
        <w:t>zata dalla ricomp</w:t>
      </w:r>
      <w:r>
        <w:t>arsa dei sintomi gastrointesti</w:t>
      </w:r>
      <w:r w:rsidRPr="00D13636">
        <w:t>nali, poiché la deposizione di spesse bande di collagene sottoe</w:t>
      </w:r>
      <w:r>
        <w:t>piteliale ostacola ulteriormen</w:t>
      </w:r>
      <w:r w:rsidRPr="00D13636">
        <w:t xml:space="preserve">te l’assorbimento dei nutrienti. La diagnosi è istologica, la prognosi severa e non esiste al momento un trattamento deﬁ </w:t>
      </w:r>
      <w:proofErr w:type="spellStart"/>
      <w:r w:rsidRPr="00D13636">
        <w:t>nitivo</w:t>
      </w:r>
      <w:proofErr w:type="spellEnd"/>
      <w:r w:rsidRPr="00D13636">
        <w:t>.</w:t>
      </w:r>
    </w:p>
    <w:p w:rsidR="0053191D" w:rsidRPr="0053191D" w:rsidRDefault="0053191D" w:rsidP="00A750FA">
      <w:pPr>
        <w:pStyle w:val="Paragrafoelenco"/>
        <w:spacing w:after="0"/>
        <w:ind w:left="708"/>
        <w:rPr>
          <w:b/>
          <w:sz w:val="18"/>
          <w:szCs w:val="18"/>
        </w:rPr>
      </w:pPr>
      <w:r>
        <w:rPr>
          <w:b/>
          <w:sz w:val="18"/>
          <w:szCs w:val="18"/>
        </w:rPr>
        <w:t>Tabella 2 Classificazione della malattia celiaca refrattaria</w:t>
      </w:r>
    </w:p>
    <w:p w:rsidR="004F5272" w:rsidRDefault="00D13636" w:rsidP="00A750FA">
      <w:pPr>
        <w:spacing w:after="0"/>
      </w:pPr>
      <w:r>
        <w:rPr>
          <w:noProof/>
          <w:lang w:eastAsia="it-IT"/>
        </w:rPr>
        <w:drawing>
          <wp:inline distT="0" distB="0" distL="0" distR="0">
            <wp:extent cx="5294822" cy="3003490"/>
            <wp:effectExtent l="19050" t="0" r="1078"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296888" cy="3004662"/>
                    </a:xfrm>
                    <a:prstGeom prst="rect">
                      <a:avLst/>
                    </a:prstGeom>
                    <a:noFill/>
                    <a:ln w="9525">
                      <a:noFill/>
                      <a:miter lim="800000"/>
                      <a:headEnd/>
                      <a:tailEnd/>
                    </a:ln>
                  </pic:spPr>
                </pic:pic>
              </a:graphicData>
            </a:graphic>
          </wp:inline>
        </w:drawing>
      </w:r>
    </w:p>
    <w:p w:rsidR="00D13636" w:rsidRDefault="00D13636" w:rsidP="00A750FA">
      <w:pPr>
        <w:spacing w:after="0"/>
      </w:pPr>
    </w:p>
    <w:p w:rsidR="00D955CA" w:rsidRPr="001E6FB9" w:rsidRDefault="001E6FB9" w:rsidP="005D4BA5">
      <w:pPr>
        <w:spacing w:line="360" w:lineRule="auto"/>
        <w:rPr>
          <w:b/>
          <w:sz w:val="28"/>
          <w:szCs w:val="28"/>
        </w:rPr>
      </w:pPr>
      <w:r w:rsidRPr="001E6FB9">
        <w:rPr>
          <w:b/>
          <w:sz w:val="28"/>
          <w:szCs w:val="28"/>
        </w:rPr>
        <w:lastRenderedPageBreak/>
        <w:t>COSA NON È CELIACHIA</w:t>
      </w:r>
      <w:r w:rsidR="005D4BA5">
        <w:rPr>
          <w:b/>
          <w:sz w:val="28"/>
          <w:szCs w:val="28"/>
        </w:rPr>
        <w:t>?</w:t>
      </w:r>
    </w:p>
    <w:p w:rsidR="005D4BA5" w:rsidRDefault="00D955CA" w:rsidP="005D4BA5">
      <w:pPr>
        <w:spacing w:line="360" w:lineRule="auto"/>
      </w:pPr>
      <w:r w:rsidRPr="005D4BA5">
        <w:rPr>
          <w:b/>
        </w:rPr>
        <w:t>Allergia al glutine</w:t>
      </w:r>
    </w:p>
    <w:p w:rsidR="005D4BA5" w:rsidRDefault="00D955CA" w:rsidP="005D4BA5">
      <w:pPr>
        <w:spacing w:line="360" w:lineRule="auto"/>
      </w:pPr>
      <w:r>
        <w:t xml:space="preserve">L’allergia al glutine ha le caratteristiche di tutte le altre allergie ad alimenti e si presenta con reazioni acute di tipo anafilattico (orticaria, </w:t>
      </w:r>
      <w:proofErr w:type="spellStart"/>
      <w:r>
        <w:t>angioedema</w:t>
      </w:r>
      <w:proofErr w:type="spellEnd"/>
      <w:r>
        <w:t xml:space="preserve">, asma, dolore addominale con o senza vomito e diarrea esplosiva, shock) in stretta correlazione temporale (minuti) con l’ingestione di glutine. Queste reazioni sono mediate da anticorpi anti-glutine di classe </w:t>
      </w:r>
      <w:proofErr w:type="spellStart"/>
      <w:r>
        <w:t>IgE</w:t>
      </w:r>
      <w:proofErr w:type="spellEnd"/>
      <w:r>
        <w:t>, anticorpi che sono facilmente dimostrabili con i test cutanei (</w:t>
      </w:r>
      <w:proofErr w:type="spellStart"/>
      <w:r>
        <w:t>prick</w:t>
      </w:r>
      <w:proofErr w:type="spellEnd"/>
      <w:r>
        <w:t xml:space="preserve"> test) o sierologici (RAST). Si tratta di una allergia non particolarmente frequente e che a volte può manifestarsi solo nel caso l’assunzione del glutine venga seguita a breve distanza da uno sforzo fisico (</w:t>
      </w:r>
      <w:proofErr w:type="spellStart"/>
      <w:r>
        <w:t>Food</w:t>
      </w:r>
      <w:proofErr w:type="spellEnd"/>
      <w:r>
        <w:t xml:space="preserve"> </w:t>
      </w:r>
      <w:proofErr w:type="spellStart"/>
      <w:r>
        <w:t>dependent</w:t>
      </w:r>
      <w:proofErr w:type="spellEnd"/>
      <w:r>
        <w:t xml:space="preserve"> </w:t>
      </w:r>
      <w:proofErr w:type="spellStart"/>
      <w:r>
        <w:t>exercise</w:t>
      </w:r>
      <w:proofErr w:type="spellEnd"/>
      <w:r>
        <w:t xml:space="preserve"> </w:t>
      </w:r>
      <w:proofErr w:type="spellStart"/>
      <w:r>
        <w:t>induced</w:t>
      </w:r>
      <w:proofErr w:type="spellEnd"/>
      <w:r>
        <w:t xml:space="preserve"> </w:t>
      </w:r>
      <w:proofErr w:type="spellStart"/>
      <w:r>
        <w:t>anaphylaxis</w:t>
      </w:r>
      <w:proofErr w:type="spellEnd"/>
      <w:r>
        <w:t>). I soggetti con allergia al glutine non sono esposti ad un a</w:t>
      </w:r>
      <w:r w:rsidR="005D4BA5">
        <w:t>umentato rischio di celiachia.</w:t>
      </w:r>
    </w:p>
    <w:p w:rsidR="005D4BA5" w:rsidRDefault="00D955CA" w:rsidP="005D4BA5">
      <w:pPr>
        <w:spacing w:line="360" w:lineRule="auto"/>
      </w:pPr>
      <w:r w:rsidRPr="005D4BA5">
        <w:rPr>
          <w:b/>
        </w:rPr>
        <w:t>FPIES (</w:t>
      </w:r>
      <w:proofErr w:type="spellStart"/>
      <w:r w:rsidRPr="005D4BA5">
        <w:rPr>
          <w:b/>
        </w:rPr>
        <w:t>Food</w:t>
      </w:r>
      <w:proofErr w:type="spellEnd"/>
      <w:r w:rsidRPr="005D4BA5">
        <w:rPr>
          <w:b/>
        </w:rPr>
        <w:t xml:space="preserve"> </w:t>
      </w:r>
      <w:proofErr w:type="spellStart"/>
      <w:r w:rsidRPr="005D4BA5">
        <w:rPr>
          <w:b/>
        </w:rPr>
        <w:t>Protein</w:t>
      </w:r>
      <w:proofErr w:type="spellEnd"/>
      <w:r w:rsidRPr="005D4BA5">
        <w:rPr>
          <w:b/>
        </w:rPr>
        <w:t xml:space="preserve"> </w:t>
      </w:r>
      <w:proofErr w:type="spellStart"/>
      <w:r w:rsidRPr="005D4BA5">
        <w:rPr>
          <w:b/>
        </w:rPr>
        <w:t>Intolerance</w:t>
      </w:r>
      <w:proofErr w:type="spellEnd"/>
      <w:r w:rsidRPr="005D4BA5">
        <w:rPr>
          <w:b/>
        </w:rPr>
        <w:t xml:space="preserve"> </w:t>
      </w:r>
      <w:proofErr w:type="spellStart"/>
      <w:r w:rsidRPr="005D4BA5">
        <w:rPr>
          <w:b/>
        </w:rPr>
        <w:t>Enterocolitis</w:t>
      </w:r>
      <w:proofErr w:type="spellEnd"/>
      <w:r w:rsidRPr="005D4BA5">
        <w:rPr>
          <w:b/>
        </w:rPr>
        <w:t xml:space="preserve"> </w:t>
      </w:r>
      <w:proofErr w:type="spellStart"/>
      <w:r w:rsidRPr="005D4BA5">
        <w:rPr>
          <w:b/>
        </w:rPr>
        <w:t>Syndrome</w:t>
      </w:r>
      <w:proofErr w:type="spellEnd"/>
      <w:r w:rsidRPr="005D4BA5">
        <w:rPr>
          <w:b/>
        </w:rPr>
        <w:t>) glutine dipendente</w:t>
      </w:r>
    </w:p>
    <w:p w:rsidR="005D4BA5" w:rsidRDefault="00D955CA" w:rsidP="005D4BA5">
      <w:pPr>
        <w:spacing w:line="360" w:lineRule="auto"/>
      </w:pPr>
      <w:r>
        <w:t xml:space="preserve">Si tratta di una forma di allergia alle proteine alimentari che può presentarsi nel bambino fino ai </w:t>
      </w:r>
      <w:proofErr w:type="spellStart"/>
      <w:r>
        <w:t>due-tre</w:t>
      </w:r>
      <w:proofErr w:type="spellEnd"/>
      <w:r>
        <w:t xml:space="preserve"> anni di vita. La sintomatologia è classicamente caratterizzata dal vomito incoercibile, con o senza diarrea, che segue l’as</w:t>
      </w:r>
      <w:r w:rsidR="005D4BA5">
        <w:t xml:space="preserve">sunzione dell’alimento di </w:t>
      </w:r>
      <w:proofErr w:type="spellStart"/>
      <w:r w:rsidR="005D4BA5">
        <w:t>una-</w:t>
      </w:r>
      <w:r>
        <w:t>due</w:t>
      </w:r>
      <w:proofErr w:type="spellEnd"/>
      <w:r>
        <w:t xml:space="preserve"> ore, si accompagna ad intensa leucocitosi neutrofila e può portare il paziente in un marcato quadro di prostrazione tanto da essere non di rado scambiata per uno stato settico o per una emergenza di tipo chirurgico. Pur se acute, le manifestazioni cliniche non sono mediate da anticorpi di tipo </w:t>
      </w:r>
      <w:proofErr w:type="spellStart"/>
      <w:r>
        <w:t>IgE</w:t>
      </w:r>
      <w:proofErr w:type="spellEnd"/>
      <w:r>
        <w:t xml:space="preserve"> (la reazione allergica è attribuita alla liberazione massiva di TNF alfa da parte dei linfociti sensibilizzati) e la diagnosi viene posta solo su base clinica. Il glutine (il frumento) è tra i cinque alimenti </w:t>
      </w:r>
      <w:proofErr w:type="spellStart"/>
      <w:r>
        <w:t>piu’</w:t>
      </w:r>
      <w:proofErr w:type="spellEnd"/>
      <w:r>
        <w:t xml:space="preserve"> frequentemente in causa. Anche in questi casi non vi è un rischio aumentato di malattia celiaca risp</w:t>
      </w:r>
      <w:r w:rsidR="005D4BA5">
        <w:t>etto alla popolazione generale.</w:t>
      </w:r>
    </w:p>
    <w:p w:rsidR="005D4BA5" w:rsidRDefault="00D955CA" w:rsidP="005D4BA5">
      <w:pPr>
        <w:spacing w:line="360" w:lineRule="auto"/>
      </w:pPr>
      <w:r w:rsidRPr="005D4BA5">
        <w:rPr>
          <w:b/>
        </w:rPr>
        <w:t>La sensibilità al glutine (</w:t>
      </w:r>
      <w:proofErr w:type="spellStart"/>
      <w:r w:rsidRPr="005D4BA5">
        <w:rPr>
          <w:b/>
        </w:rPr>
        <w:t>Gluten</w:t>
      </w:r>
      <w:proofErr w:type="spellEnd"/>
      <w:r w:rsidRPr="005D4BA5">
        <w:rPr>
          <w:b/>
        </w:rPr>
        <w:t xml:space="preserve"> </w:t>
      </w:r>
      <w:proofErr w:type="spellStart"/>
      <w:r w:rsidRPr="005D4BA5">
        <w:rPr>
          <w:b/>
        </w:rPr>
        <w:t>sensitivity</w:t>
      </w:r>
      <w:proofErr w:type="spellEnd"/>
      <w:r w:rsidRPr="005D4BA5">
        <w:rPr>
          <w:b/>
        </w:rPr>
        <w:t>)</w:t>
      </w:r>
    </w:p>
    <w:p w:rsidR="00D955CA" w:rsidRDefault="00D955CA" w:rsidP="005D4BA5">
      <w:pPr>
        <w:spacing w:line="360" w:lineRule="auto"/>
      </w:pPr>
      <w:r>
        <w:t>Con il termine NCGS (Sensibilità al Glutine Diversa dalla Celiachia) si definisce una sindrome caratterizzata dalla presenza, in rapporto all'ingestione di alimenti contenenti glutine, di sintomi in</w:t>
      </w:r>
      <w:r w:rsidR="005D4BA5">
        <w:t xml:space="preserve">testinali ed extra intestinali in pazienti in cui malattia celiaca </w:t>
      </w:r>
      <w:r>
        <w:t xml:space="preserve">ed allergia alle proteine del frumento siano già state escluse. Pazienti con tali caratteristiche sono noti da anni ma è bene premettere che, nonostante un numero crescente di essi riferisca quadri di questo tipo, l'esistenza stessa della sindrome è ancora messa in dubbio da numerosi esperti. Più in particolare, il fatto che i disturbi (quasi tutti soggettivi!) migliorino all'esclusione del glutine e peggiorino alla sua reintroduzione viene considerato come legato al ben noto effetto placebo e </w:t>
      </w:r>
      <w:proofErr w:type="spellStart"/>
      <w:r>
        <w:t>nocebo</w:t>
      </w:r>
      <w:proofErr w:type="spellEnd"/>
      <w:r>
        <w:t xml:space="preserve"> delle diete da eliminazione e provocazione. D'altra parte studi "in cieco" sono resi difficili e scarsamente affidabili dalla riconoscibilità (mai adeguatamente testata "a priori") del glutine quando aggiunto </w:t>
      </w:r>
      <w:r w:rsidR="005D4BA5">
        <w:t>o mescolato ad altri alimenti.</w:t>
      </w:r>
    </w:p>
    <w:p w:rsidR="00111C14" w:rsidRDefault="00D955CA" w:rsidP="005D4BA5">
      <w:pPr>
        <w:spacing w:line="360" w:lineRule="auto"/>
      </w:pPr>
      <w:r>
        <w:lastRenderedPageBreak/>
        <w:t>Tutti, pertanto, concordano sul fatto che i risultati finora ottenuti si riferiscono a pazienti presunti, ma non sicuramente portatori di tale sindrome, e sulla necessità di studi ulteriori e più approfonditi. Sul piano clinico è fondamentale combattere l'autodiagnosi ed evitare che, il paziente abbia già escluso il glutine prima ancora di un consulto medico. Tale comportamento im</w:t>
      </w:r>
      <w:r w:rsidR="005D4BA5">
        <w:t>pedisce l'accertamento di una celiachia vera</w:t>
      </w:r>
      <w:r>
        <w:t xml:space="preserve">, con tutte le conseguenze del caso, e rende assolutamente necessaria la riesposizione al glutine. In accordo con la definizione di NCGS, la prima cosa da fare è escludere un'allergia alle proteine del frumento attraverso la ricerca delle </w:t>
      </w:r>
      <w:proofErr w:type="spellStart"/>
      <w:r>
        <w:t>IgE</w:t>
      </w:r>
      <w:proofErr w:type="spellEnd"/>
      <w:r>
        <w:t xml:space="preserve"> specifiche mediante metodica di "</w:t>
      </w:r>
      <w:proofErr w:type="spellStart"/>
      <w:r>
        <w:t>ImmunoCAP</w:t>
      </w:r>
      <w:proofErr w:type="spellEnd"/>
      <w:r>
        <w:t xml:space="preserve">" e, soprattutto, la </w:t>
      </w:r>
      <w:r w:rsidR="005D4BA5">
        <w:t>malattia celiaca a</w:t>
      </w:r>
      <w:r>
        <w:t>ttraverso la ricerca degli anticorpi. Come si è già accennato, non esistono algoritmi minimamente standardizzati e validati per la diagnosi positiva di NCGS.</w:t>
      </w:r>
    </w:p>
    <w:p w:rsidR="00111C14" w:rsidRPr="005D4BA5" w:rsidRDefault="005D4BA5" w:rsidP="00077EB2">
      <w:pPr>
        <w:spacing w:line="360" w:lineRule="auto"/>
        <w:rPr>
          <w:b/>
          <w:sz w:val="28"/>
          <w:szCs w:val="28"/>
        </w:rPr>
      </w:pPr>
      <w:r>
        <w:rPr>
          <w:b/>
          <w:sz w:val="28"/>
          <w:szCs w:val="28"/>
        </w:rPr>
        <w:t>CONCLUSIONI</w:t>
      </w:r>
    </w:p>
    <w:p w:rsidR="00111C14" w:rsidRDefault="005D4BA5" w:rsidP="00077EB2">
      <w:pPr>
        <w:spacing w:line="360" w:lineRule="auto"/>
      </w:pPr>
      <w:r w:rsidRPr="005D4BA5">
        <w:t>Nonostante i notevoli progressi registrati in questi ultimi an</w:t>
      </w:r>
      <w:r>
        <w:t>ni, molti aspetti rimangono an</w:t>
      </w:r>
      <w:r w:rsidRPr="005D4BA5">
        <w:t>cora da chiarire, per cui la ricerca in tema di celiachia è part</w:t>
      </w:r>
      <w:r>
        <w:t>icolarmente attiva. Questa con</w:t>
      </w:r>
      <w:r w:rsidRPr="005D4BA5">
        <w:t xml:space="preserve">dizione rappresenta, tra l’altro, l’unico esempio di malattia autoimmune di cui sia noto il fattore ambientale scatenante (il glutine). Sebbene la dieta priva di glutine sia da considerare il solo trattamento effettivo al momento disponibile per i pazienti celiaci, è oramai accettato che la sua implementazione è spesso </w:t>
      </w:r>
      <w:proofErr w:type="spellStart"/>
      <w:r w:rsidRPr="005D4BA5">
        <w:t>d</w:t>
      </w:r>
      <w:r w:rsidR="00077EB2">
        <w:t>ifﬁ</w:t>
      </w:r>
      <w:r w:rsidRPr="005D4BA5">
        <w:t>coltosa</w:t>
      </w:r>
      <w:proofErr w:type="spellEnd"/>
      <w:r w:rsidRPr="005D4BA5">
        <w:t xml:space="preserve"> e non ottimale. Una comprensione migliore della complessità delle interazioni geni/ambiente responsabile per lo sviluppo della celiachia apre la strada a</w:t>
      </w:r>
      <w:r w:rsidR="00077EB2">
        <w:t xml:space="preserve"> strategie terapeutiche </w:t>
      </w:r>
      <w:proofErr w:type="spellStart"/>
      <w:r w:rsidR="00077EB2">
        <w:t>altern</w:t>
      </w:r>
      <w:proofErr w:type="spellEnd"/>
      <w:r w:rsidRPr="005D4BA5">
        <w:t xml:space="preserve"> </w:t>
      </w:r>
      <w:proofErr w:type="spellStart"/>
      <w:r w:rsidRPr="005D4BA5">
        <w:t>tive</w:t>
      </w:r>
      <w:proofErr w:type="spellEnd"/>
      <w:r w:rsidRPr="005D4BA5">
        <w:t xml:space="preserve"> alla dieta. Dal punto di vista delle terapie alternative, sarà fondamentale individuare le sequenze tossiche della gliadina, primo passo verso lo sviluppo di una prevenzione primaria della celiachia </w:t>
      </w:r>
      <w:r w:rsidR="00077EB2">
        <w:t>attraverso una modulazione del</w:t>
      </w:r>
      <w:r w:rsidRPr="005D4BA5">
        <w:t>la risposta immune (cosiddetto “vaccino”) o la selezione, tramite ingegneria g</w:t>
      </w:r>
      <w:r w:rsidR="00077EB2">
        <w:t>enetica, di va</w:t>
      </w:r>
      <w:r w:rsidR="00077EB2" w:rsidRPr="00077EB2">
        <w:t>rietà di gr</w:t>
      </w:r>
      <w:r w:rsidR="00077EB2">
        <w:t xml:space="preserve">ano contenenti glutine </w:t>
      </w:r>
      <w:proofErr w:type="spellStart"/>
      <w:r w:rsidR="00077EB2">
        <w:t>detossiﬁ</w:t>
      </w:r>
      <w:r w:rsidR="00077EB2" w:rsidRPr="00077EB2">
        <w:t>cato</w:t>
      </w:r>
      <w:proofErr w:type="spellEnd"/>
      <w:r w:rsidR="00077EB2" w:rsidRPr="00077EB2">
        <w:t>. Un futuro che sta diventando già realtà è l’uso di alcuni enzimi che possano completamente digerire framme</w:t>
      </w:r>
      <w:r w:rsidR="00077EB2">
        <w:t>nti di gliadina normalmente re</w:t>
      </w:r>
      <w:r w:rsidR="00077EB2" w:rsidRPr="00077EB2">
        <w:t>sistenti alla digesti</w:t>
      </w:r>
      <w:r w:rsidR="00077EB2">
        <w:t xml:space="preserve">one e di inibitori della </w:t>
      </w:r>
      <w:proofErr w:type="spellStart"/>
      <w:r w:rsidR="00077EB2">
        <w:t>zonuli</w:t>
      </w:r>
      <w:r w:rsidR="00077EB2" w:rsidRPr="00077EB2">
        <w:t>na</w:t>
      </w:r>
      <w:proofErr w:type="spellEnd"/>
      <w:r w:rsidR="00077EB2" w:rsidRPr="00077EB2">
        <w:t xml:space="preserve"> che sono al momento il rimedio terapeutico alternativo alla d</w:t>
      </w:r>
      <w:r w:rsidR="00077EB2">
        <w:t>ieta priva di glutine più avan</w:t>
      </w:r>
      <w:r w:rsidR="00077EB2" w:rsidRPr="00077EB2">
        <w:t>zato dal punto di ricerca clinica, poiché sono già al vaglio di trial clinici umani.</w:t>
      </w:r>
    </w:p>
    <w:p w:rsidR="00111C14" w:rsidRDefault="00111C14" w:rsidP="00A750FA">
      <w:pPr>
        <w:spacing w:after="0"/>
      </w:pPr>
    </w:p>
    <w:p w:rsidR="00AA295E" w:rsidRDefault="00AA295E" w:rsidP="00A750FA">
      <w:pPr>
        <w:spacing w:after="0"/>
      </w:pPr>
    </w:p>
    <w:p w:rsidR="00AA295E" w:rsidRDefault="00AA295E" w:rsidP="00A750FA">
      <w:pPr>
        <w:spacing w:after="0"/>
      </w:pPr>
    </w:p>
    <w:p w:rsidR="00AA295E" w:rsidRDefault="00AA295E" w:rsidP="00A750FA">
      <w:pPr>
        <w:spacing w:after="0"/>
      </w:pPr>
      <w:r>
        <w:t>BIBLIOGRAF</w:t>
      </w:r>
      <w:r w:rsidR="00CD6292">
        <w:t>IA</w:t>
      </w:r>
    </w:p>
    <w:p w:rsidR="00CD6292" w:rsidRDefault="00CD6292" w:rsidP="00CD6292">
      <w:pPr>
        <w:pStyle w:val="Paragrafoelenco"/>
        <w:numPr>
          <w:ilvl w:val="0"/>
          <w:numId w:val="7"/>
        </w:numPr>
        <w:spacing w:after="0"/>
      </w:pPr>
      <w:proofErr w:type="spellStart"/>
      <w:r w:rsidRPr="00CD6292">
        <w:t>Ubaldi</w:t>
      </w:r>
      <w:proofErr w:type="spellEnd"/>
      <w:r>
        <w:t xml:space="preserve"> E.</w:t>
      </w:r>
      <w:r w:rsidRPr="00CD6292">
        <w:t xml:space="preserve"> </w:t>
      </w:r>
      <w:r w:rsidRPr="00CD6292">
        <w:rPr>
          <w:i/>
        </w:rPr>
        <w:t>L’iceberg sta emergendo</w:t>
      </w:r>
      <w:r>
        <w:t xml:space="preserve">, in Umberto Volta, Enzo </w:t>
      </w:r>
      <w:proofErr w:type="spellStart"/>
      <w:r>
        <w:t>Ubaldi</w:t>
      </w:r>
      <w:proofErr w:type="spellEnd"/>
      <w:r>
        <w:t xml:space="preserve"> (a cura di) L</w:t>
      </w:r>
      <w:r w:rsidRPr="00CD6292">
        <w:t>a celiachia in medicina generale</w:t>
      </w:r>
      <w:r>
        <w:t xml:space="preserve">, </w:t>
      </w:r>
      <w:proofErr w:type="spellStart"/>
      <w:r>
        <w:t>Ospedaletto</w:t>
      </w:r>
      <w:proofErr w:type="spellEnd"/>
      <w:r>
        <w:t xml:space="preserve"> (Pisa), </w:t>
      </w:r>
      <w:proofErr w:type="spellStart"/>
      <w:r>
        <w:t>Pacini</w:t>
      </w:r>
      <w:proofErr w:type="spellEnd"/>
      <w:r>
        <w:t xml:space="preserve"> Editore, 2009.</w:t>
      </w:r>
    </w:p>
    <w:p w:rsidR="00CD6292" w:rsidRPr="00D13636" w:rsidRDefault="00CD6292" w:rsidP="00CD6292">
      <w:pPr>
        <w:pStyle w:val="Paragrafoelenco"/>
        <w:numPr>
          <w:ilvl w:val="0"/>
          <w:numId w:val="7"/>
        </w:numPr>
        <w:spacing w:after="0"/>
      </w:pPr>
      <w:proofErr w:type="spellStart"/>
      <w:r>
        <w:t>Auricchio</w:t>
      </w:r>
      <w:proofErr w:type="spellEnd"/>
      <w:r>
        <w:t xml:space="preserve"> R., </w:t>
      </w:r>
      <w:r w:rsidRPr="00CD6292">
        <w:t>Troncone</w:t>
      </w:r>
      <w:r>
        <w:t xml:space="preserve"> R.,</w:t>
      </w:r>
      <w:r w:rsidRPr="00CD6292">
        <w:t xml:space="preserve"> </w:t>
      </w:r>
      <w:r w:rsidR="00DB1871">
        <w:rPr>
          <w:i/>
        </w:rPr>
        <w:t xml:space="preserve">Quando sospettare la celiachia. </w:t>
      </w:r>
      <w:r w:rsidRPr="00CD6292">
        <w:rPr>
          <w:i/>
        </w:rPr>
        <w:t>Presentazione clinica in età pediatrica</w:t>
      </w:r>
      <w:r>
        <w:t xml:space="preserve">, in Umberto Volta, Enzo </w:t>
      </w:r>
      <w:proofErr w:type="spellStart"/>
      <w:r>
        <w:t>Ubaldi</w:t>
      </w:r>
      <w:proofErr w:type="spellEnd"/>
      <w:r>
        <w:t xml:space="preserve"> (a cura di) L</w:t>
      </w:r>
      <w:r w:rsidRPr="00CD6292">
        <w:t>a celiachia in medicina generale</w:t>
      </w:r>
      <w:r>
        <w:t xml:space="preserve">, </w:t>
      </w:r>
      <w:proofErr w:type="spellStart"/>
      <w:r>
        <w:t>Ospedaletto</w:t>
      </w:r>
      <w:proofErr w:type="spellEnd"/>
      <w:r>
        <w:t xml:space="preserve"> (Pisa), </w:t>
      </w:r>
      <w:proofErr w:type="spellStart"/>
      <w:r>
        <w:t>Pacini</w:t>
      </w:r>
      <w:proofErr w:type="spellEnd"/>
      <w:r>
        <w:t xml:space="preserve"> Editore, 2009.</w:t>
      </w:r>
    </w:p>
    <w:p w:rsidR="00CD6292" w:rsidRDefault="00DF48CC" w:rsidP="00DB1871">
      <w:pPr>
        <w:pStyle w:val="Paragrafoelenco"/>
        <w:numPr>
          <w:ilvl w:val="0"/>
          <w:numId w:val="7"/>
        </w:numPr>
        <w:spacing w:after="0"/>
      </w:pPr>
      <w:r>
        <w:t xml:space="preserve">Bardella M. </w:t>
      </w:r>
      <w:r w:rsidR="00DB1871">
        <w:rPr>
          <w:i/>
        </w:rPr>
        <w:t xml:space="preserve">Quando sospettare la celiachia. </w:t>
      </w:r>
      <w:r w:rsidR="00CD6292" w:rsidRPr="00CD6292">
        <w:rPr>
          <w:i/>
        </w:rPr>
        <w:t xml:space="preserve">Presentazione clinica </w:t>
      </w:r>
      <w:r w:rsidR="00CD6292">
        <w:rPr>
          <w:i/>
        </w:rPr>
        <w:t>nell’adulto</w:t>
      </w:r>
      <w:r w:rsidR="00CD6292">
        <w:t xml:space="preserve">, in Umberto Volta, Enzo </w:t>
      </w:r>
      <w:proofErr w:type="spellStart"/>
      <w:r w:rsidR="00CD6292">
        <w:t>Ubaldi</w:t>
      </w:r>
      <w:proofErr w:type="spellEnd"/>
      <w:r w:rsidR="00CD6292">
        <w:t xml:space="preserve"> (a cura di) L</w:t>
      </w:r>
      <w:r w:rsidR="00CD6292" w:rsidRPr="00CD6292">
        <w:t>a celiachia in medicina generale</w:t>
      </w:r>
      <w:r w:rsidR="00CD6292">
        <w:t xml:space="preserve">, </w:t>
      </w:r>
      <w:proofErr w:type="spellStart"/>
      <w:r w:rsidR="00CD6292">
        <w:t>Ospedaletto</w:t>
      </w:r>
      <w:proofErr w:type="spellEnd"/>
      <w:r w:rsidR="00CD6292">
        <w:t xml:space="preserve"> (Pisa), </w:t>
      </w:r>
      <w:proofErr w:type="spellStart"/>
      <w:r w:rsidR="00CD6292">
        <w:t>Pacini</w:t>
      </w:r>
      <w:proofErr w:type="spellEnd"/>
      <w:r w:rsidR="00CD6292">
        <w:t xml:space="preserve"> Editore, 2009.</w:t>
      </w:r>
    </w:p>
    <w:p w:rsidR="00DB1871" w:rsidRDefault="00DB1871" w:rsidP="00DB1871">
      <w:pPr>
        <w:pStyle w:val="Paragrafoelenco"/>
        <w:numPr>
          <w:ilvl w:val="0"/>
          <w:numId w:val="7"/>
        </w:numPr>
        <w:spacing w:after="0"/>
      </w:pPr>
      <w:proofErr w:type="spellStart"/>
      <w:r w:rsidRPr="00DB1871">
        <w:lastRenderedPageBreak/>
        <w:t>Malamisura</w:t>
      </w:r>
      <w:proofErr w:type="spellEnd"/>
      <w:r>
        <w:t xml:space="preserve"> B., </w:t>
      </w:r>
      <w:proofErr w:type="spellStart"/>
      <w:r w:rsidRPr="00DB1871">
        <w:t>Guariso</w:t>
      </w:r>
      <w:proofErr w:type="spellEnd"/>
      <w:r>
        <w:t xml:space="preserve"> G.</w:t>
      </w:r>
      <w:r w:rsidRPr="00DB1871">
        <w:t xml:space="preserve"> </w:t>
      </w:r>
      <w:r>
        <w:rPr>
          <w:i/>
        </w:rPr>
        <w:t>L</w:t>
      </w:r>
      <w:r w:rsidRPr="00DB1871">
        <w:rPr>
          <w:i/>
        </w:rPr>
        <w:t xml:space="preserve">a dieta </w:t>
      </w:r>
      <w:proofErr w:type="spellStart"/>
      <w:r w:rsidRPr="00DB1871">
        <w:rPr>
          <w:i/>
        </w:rPr>
        <w:t>aglutinata</w:t>
      </w:r>
      <w:proofErr w:type="spellEnd"/>
      <w:r w:rsidRPr="00DB1871">
        <w:rPr>
          <w:i/>
        </w:rPr>
        <w:t xml:space="preserve"> come impostarla e seguirla correttamente</w:t>
      </w:r>
      <w:r>
        <w:t xml:space="preserve">, in Umberto Volta, Enzo </w:t>
      </w:r>
      <w:proofErr w:type="spellStart"/>
      <w:r>
        <w:t>Ubaldi</w:t>
      </w:r>
      <w:proofErr w:type="spellEnd"/>
      <w:r>
        <w:t xml:space="preserve"> (a cura di) L</w:t>
      </w:r>
      <w:r w:rsidRPr="00CD6292">
        <w:t>a celiachia in medicina generale</w:t>
      </w:r>
      <w:r>
        <w:t xml:space="preserve">, </w:t>
      </w:r>
      <w:proofErr w:type="spellStart"/>
      <w:r>
        <w:t>Ospedaletto</w:t>
      </w:r>
      <w:proofErr w:type="spellEnd"/>
      <w:r>
        <w:t xml:space="preserve"> (Pisa), </w:t>
      </w:r>
      <w:proofErr w:type="spellStart"/>
      <w:r>
        <w:t>Pacini</w:t>
      </w:r>
      <w:proofErr w:type="spellEnd"/>
      <w:r>
        <w:t xml:space="preserve"> Editore, 2009.</w:t>
      </w:r>
    </w:p>
    <w:p w:rsidR="00DB1871" w:rsidRPr="00DB1871" w:rsidRDefault="00DB1871" w:rsidP="00DB1871">
      <w:pPr>
        <w:pStyle w:val="Paragrafoelenco"/>
        <w:numPr>
          <w:ilvl w:val="0"/>
          <w:numId w:val="7"/>
        </w:numPr>
        <w:spacing w:after="0"/>
      </w:pPr>
      <w:r>
        <w:t>Ministero della Salute. D</w:t>
      </w:r>
      <w:r w:rsidRPr="00DB1871">
        <w:t>irezione generale per l’igiene e la sicurezza degli alimenti e della nutrizione</w:t>
      </w:r>
      <w:r>
        <w:t xml:space="preserve">. </w:t>
      </w:r>
      <w:r w:rsidRPr="00DB1871">
        <w:rPr>
          <w:i/>
        </w:rPr>
        <w:t>Documento di supporto scientifico al protocollo per la diagnosi e il follow-up della celiachia</w:t>
      </w:r>
      <w:r>
        <w:rPr>
          <w:i/>
        </w:rPr>
        <w:t xml:space="preserve"> 2015.</w:t>
      </w:r>
    </w:p>
    <w:p w:rsidR="00DB1871" w:rsidRPr="00DB1871" w:rsidRDefault="00DB1871" w:rsidP="00DB1871">
      <w:pPr>
        <w:pStyle w:val="Paragrafoelenco"/>
        <w:numPr>
          <w:ilvl w:val="0"/>
          <w:numId w:val="7"/>
        </w:numPr>
        <w:spacing w:after="0"/>
        <w:rPr>
          <w:i/>
        </w:rPr>
      </w:pPr>
      <w:r w:rsidRPr="00DB1871">
        <w:t xml:space="preserve">National </w:t>
      </w:r>
      <w:proofErr w:type="spellStart"/>
      <w:r w:rsidRPr="00DB1871">
        <w:t>Hinstitute</w:t>
      </w:r>
      <w:proofErr w:type="spellEnd"/>
      <w:r w:rsidRPr="00DB1871">
        <w:t xml:space="preserve"> </w:t>
      </w:r>
      <w:proofErr w:type="spellStart"/>
      <w:r w:rsidRPr="00DB1871">
        <w:t>for</w:t>
      </w:r>
      <w:proofErr w:type="spellEnd"/>
      <w:r w:rsidRPr="00DB1871">
        <w:t xml:space="preserve"> </w:t>
      </w:r>
      <w:proofErr w:type="spellStart"/>
      <w:r w:rsidRPr="00DB1871">
        <w:t>Health</w:t>
      </w:r>
      <w:proofErr w:type="spellEnd"/>
      <w:r w:rsidRPr="00DB1871">
        <w:t xml:space="preserve"> and Care </w:t>
      </w:r>
      <w:proofErr w:type="spellStart"/>
      <w:r w:rsidRPr="00DB1871">
        <w:t>Excellance</w:t>
      </w:r>
      <w:proofErr w:type="spellEnd"/>
      <w:r w:rsidRPr="00DB1871">
        <w:t>.</w:t>
      </w:r>
      <w:r>
        <w:rPr>
          <w:i/>
        </w:rPr>
        <w:t xml:space="preserve"> </w:t>
      </w:r>
      <w:proofErr w:type="spellStart"/>
      <w:r w:rsidRPr="00DB1871">
        <w:rPr>
          <w:i/>
        </w:rPr>
        <w:t>Coeliac</w:t>
      </w:r>
      <w:proofErr w:type="spellEnd"/>
      <w:r w:rsidRPr="00DB1871">
        <w:rPr>
          <w:i/>
        </w:rPr>
        <w:t xml:space="preserve"> </w:t>
      </w:r>
      <w:proofErr w:type="spellStart"/>
      <w:r w:rsidRPr="00DB1871">
        <w:rPr>
          <w:i/>
        </w:rPr>
        <w:t>disease</w:t>
      </w:r>
      <w:proofErr w:type="spellEnd"/>
      <w:r w:rsidRPr="00DB1871">
        <w:rPr>
          <w:i/>
        </w:rPr>
        <w:t xml:space="preserve">: </w:t>
      </w:r>
      <w:proofErr w:type="spellStart"/>
      <w:r w:rsidRPr="00DB1871">
        <w:rPr>
          <w:i/>
        </w:rPr>
        <w:t>recognition</w:t>
      </w:r>
      <w:proofErr w:type="spellEnd"/>
      <w:r w:rsidRPr="00DB1871">
        <w:rPr>
          <w:i/>
        </w:rPr>
        <w:t xml:space="preserve">, </w:t>
      </w:r>
      <w:proofErr w:type="spellStart"/>
      <w:r w:rsidRPr="00DB1871">
        <w:rPr>
          <w:i/>
        </w:rPr>
        <w:t>assessment</w:t>
      </w:r>
      <w:proofErr w:type="spellEnd"/>
      <w:r w:rsidRPr="00DB1871">
        <w:rPr>
          <w:i/>
        </w:rPr>
        <w:t xml:space="preserve"> and management</w:t>
      </w:r>
      <w:r>
        <w:rPr>
          <w:i/>
        </w:rPr>
        <w:t xml:space="preserve"> 2015.</w:t>
      </w:r>
    </w:p>
    <w:sectPr w:rsidR="00DB1871" w:rsidRPr="00DB1871" w:rsidSect="00E9333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617A8"/>
    <w:multiLevelType w:val="hybridMultilevel"/>
    <w:tmpl w:val="9B103F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C783320"/>
    <w:multiLevelType w:val="hybridMultilevel"/>
    <w:tmpl w:val="36DAC4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AE27ACA"/>
    <w:multiLevelType w:val="hybridMultilevel"/>
    <w:tmpl w:val="C3D0B68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4BE97989"/>
    <w:multiLevelType w:val="hybridMultilevel"/>
    <w:tmpl w:val="B30092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0371804"/>
    <w:multiLevelType w:val="hybridMultilevel"/>
    <w:tmpl w:val="186A03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7FE71E7"/>
    <w:multiLevelType w:val="hybridMultilevel"/>
    <w:tmpl w:val="DC4280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73120BC"/>
    <w:multiLevelType w:val="hybridMultilevel"/>
    <w:tmpl w:val="173807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553AAD"/>
    <w:rsid w:val="000323E1"/>
    <w:rsid w:val="0003715A"/>
    <w:rsid w:val="00077EB2"/>
    <w:rsid w:val="00111C14"/>
    <w:rsid w:val="001500F3"/>
    <w:rsid w:val="00192530"/>
    <w:rsid w:val="001E6FB9"/>
    <w:rsid w:val="002121E6"/>
    <w:rsid w:val="002F7547"/>
    <w:rsid w:val="00451390"/>
    <w:rsid w:val="00462A22"/>
    <w:rsid w:val="004F5272"/>
    <w:rsid w:val="004F6243"/>
    <w:rsid w:val="0053191D"/>
    <w:rsid w:val="00553AAD"/>
    <w:rsid w:val="005D4BA5"/>
    <w:rsid w:val="006B3D21"/>
    <w:rsid w:val="007439D1"/>
    <w:rsid w:val="0078562B"/>
    <w:rsid w:val="007E566B"/>
    <w:rsid w:val="008A2698"/>
    <w:rsid w:val="008A44EE"/>
    <w:rsid w:val="008C76F6"/>
    <w:rsid w:val="009220D9"/>
    <w:rsid w:val="00947A0E"/>
    <w:rsid w:val="00A750FA"/>
    <w:rsid w:val="00AA295E"/>
    <w:rsid w:val="00AC71B7"/>
    <w:rsid w:val="00B62699"/>
    <w:rsid w:val="00CD6292"/>
    <w:rsid w:val="00D13636"/>
    <w:rsid w:val="00D335AE"/>
    <w:rsid w:val="00D955CA"/>
    <w:rsid w:val="00DB1871"/>
    <w:rsid w:val="00DF48CC"/>
    <w:rsid w:val="00E93331"/>
    <w:rsid w:val="00EF6F4B"/>
    <w:rsid w:val="00EF7D0C"/>
    <w:rsid w:val="00F03539"/>
    <w:rsid w:val="00F94D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933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150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4F6243"/>
    <w:pPr>
      <w:ind w:left="720"/>
      <w:contextualSpacing/>
    </w:pPr>
  </w:style>
  <w:style w:type="paragraph" w:styleId="Testofumetto">
    <w:name w:val="Balloon Text"/>
    <w:basedOn w:val="Normale"/>
    <w:link w:val="TestofumettoCarattere"/>
    <w:uiPriority w:val="99"/>
    <w:semiHidden/>
    <w:unhideWhenUsed/>
    <w:rsid w:val="004F527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52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D8916B-925B-4138-9CF4-3C5DA3C8A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Pages>
  <Words>5675</Words>
  <Characters>32349</Characters>
  <Application>Microsoft Office Word</Application>
  <DocSecurity>0</DocSecurity>
  <Lines>269</Lines>
  <Paragraphs>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Novella Ceretti</dc:creator>
  <cp:lastModifiedBy>Novella Ceretti</cp:lastModifiedBy>
  <cp:revision>9</cp:revision>
  <cp:lastPrinted>2016-09-03T08:45:00Z</cp:lastPrinted>
  <dcterms:created xsi:type="dcterms:W3CDTF">2016-07-24T07:22:00Z</dcterms:created>
  <dcterms:modified xsi:type="dcterms:W3CDTF">2016-09-03T08:45:00Z</dcterms:modified>
</cp:coreProperties>
</file>