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BEB" w:rsidRDefault="00373BEB" w:rsidP="00373BEB">
      <w:pPr>
        <w:spacing w:line="360" w:lineRule="auto"/>
        <w:rPr>
          <w:b/>
          <w:color w:val="FF0000"/>
        </w:rPr>
      </w:pPr>
      <w:r>
        <w:rPr>
          <w:b/>
          <w:color w:val="FF0000"/>
        </w:rPr>
        <w:t xml:space="preserve">RECUPERO LEZIONE DELL’ 11/05/2016 “LE CEFALEE” (MATTINO). DOCENTE: </w:t>
      </w:r>
      <w:proofErr w:type="spellStart"/>
      <w:r>
        <w:rPr>
          <w:b/>
          <w:color w:val="FF0000"/>
        </w:rPr>
        <w:t>DOTT.SSA</w:t>
      </w:r>
      <w:proofErr w:type="spellEnd"/>
      <w:r>
        <w:rPr>
          <w:b/>
          <w:color w:val="FF0000"/>
        </w:rPr>
        <w:t xml:space="preserve"> V: FERRARI</w:t>
      </w:r>
    </w:p>
    <w:p w:rsidR="00373BEB" w:rsidRDefault="00373BEB" w:rsidP="00373BEB">
      <w:pPr>
        <w:spacing w:line="360" w:lineRule="auto"/>
        <w:rPr>
          <w:b/>
          <w:color w:val="FF0000"/>
        </w:rPr>
      </w:pPr>
    </w:p>
    <w:p w:rsidR="00373BEB" w:rsidRDefault="00373BEB" w:rsidP="00373BEB">
      <w:pPr>
        <w:spacing w:line="360" w:lineRule="auto"/>
        <w:rPr>
          <w:b/>
          <w:color w:val="FF0000"/>
        </w:rPr>
      </w:pPr>
    </w:p>
    <w:p w:rsidR="00373BEB" w:rsidRPr="00373BEB" w:rsidRDefault="00373BEB" w:rsidP="00373BEB">
      <w:pPr>
        <w:spacing w:line="360" w:lineRule="auto"/>
        <w:rPr>
          <w:b/>
          <w:color w:val="FF0000"/>
        </w:rPr>
      </w:pPr>
    </w:p>
    <w:p w:rsidR="005839C7" w:rsidRPr="00410E63" w:rsidRDefault="00AA4247" w:rsidP="00410E63">
      <w:pPr>
        <w:spacing w:line="360" w:lineRule="auto"/>
        <w:jc w:val="center"/>
        <w:rPr>
          <w:b/>
          <w:sz w:val="32"/>
          <w:szCs w:val="32"/>
        </w:rPr>
      </w:pPr>
      <w:r w:rsidRPr="00410E63">
        <w:rPr>
          <w:b/>
          <w:sz w:val="32"/>
          <w:szCs w:val="32"/>
        </w:rPr>
        <w:t xml:space="preserve">EMICRANIA: TERAPIA SINTOMATICA </w:t>
      </w:r>
      <w:r w:rsidR="00144752" w:rsidRPr="00410E63">
        <w:rPr>
          <w:b/>
          <w:sz w:val="32"/>
          <w:szCs w:val="32"/>
        </w:rPr>
        <w:t>DELL’ATTACCO EMICRANICO</w:t>
      </w:r>
    </w:p>
    <w:p w:rsidR="005839C7" w:rsidRPr="00410E63" w:rsidRDefault="00AA4247" w:rsidP="00410E63">
      <w:pPr>
        <w:spacing w:line="360" w:lineRule="auto"/>
        <w:rPr>
          <w:b/>
          <w:sz w:val="24"/>
          <w:szCs w:val="24"/>
        </w:rPr>
      </w:pPr>
      <w:r w:rsidRPr="00410E63">
        <w:rPr>
          <w:b/>
          <w:sz w:val="24"/>
          <w:szCs w:val="24"/>
        </w:rPr>
        <w:t>INTRODUZIONE</w:t>
      </w:r>
    </w:p>
    <w:p w:rsidR="006C34A1" w:rsidRPr="00410E63" w:rsidRDefault="00A72B50" w:rsidP="00410E63">
      <w:pPr>
        <w:spacing w:line="360" w:lineRule="auto"/>
      </w:pPr>
      <w:r w:rsidRPr="00410E63">
        <w:t>L’emicrania è una cefalea primaria caratterizzata da attacchi di cefalea di intensità moderata o forte, aggravata dai movimenti, associata a nausea, fonofobia, fotofob</w:t>
      </w:r>
      <w:r w:rsidR="006C34A1" w:rsidRPr="00410E63">
        <w:t>ia e più raramente a vomito.</w:t>
      </w:r>
      <w:r w:rsidRPr="00410E63">
        <w:t xml:space="preserve"> Talvolta l’emicrania assume un andamento “evolutivo”, divenendo quasi quotidiana o quotidiana: in tale caso s</w:t>
      </w:r>
      <w:r w:rsidR="006C34A1" w:rsidRPr="00410E63">
        <w:t>i parla di emicrania cronica</w:t>
      </w:r>
      <w:r w:rsidRPr="00410E63">
        <w:t>. L’emicrania ha un notevole impatto sulla vita sociale e lavorativa dei pazienti, soprattutto quando gli attacchi diventano molto frequenti o addirittura quotidiani</w:t>
      </w:r>
      <w:r w:rsidR="006C34A1" w:rsidRPr="00410E63">
        <w:t>.</w:t>
      </w:r>
    </w:p>
    <w:p w:rsidR="00A72B50" w:rsidRPr="00410E63" w:rsidRDefault="00A72B50" w:rsidP="00410E63">
      <w:pPr>
        <w:spacing w:line="360" w:lineRule="auto"/>
      </w:pPr>
      <w:r w:rsidRPr="00410E63">
        <w:t>Esistono due forme principali di emicrania: l’emicrania con aura, in cui</w:t>
      </w:r>
      <w:r w:rsidR="006C34A1" w:rsidRPr="00410E63">
        <w:t xml:space="preserve"> la cefalea è preceduta da sin</w:t>
      </w:r>
      <w:r w:rsidRPr="00410E63">
        <w:t>tomi neurologici transitori e reversibili, definiti aura emicranica, e l’emicrania senza aura, in cui t</w:t>
      </w:r>
      <w:r w:rsidR="006C34A1" w:rsidRPr="00410E63">
        <w:t>ali disturbi sono assenti</w:t>
      </w:r>
      <w:r w:rsidRPr="00410E63">
        <w:t>. Forme più rare di emicrania sono: l’emicrania emiplegica, familiare e sporadica; l’emicrania retinica; g</w:t>
      </w:r>
      <w:r w:rsidR="006C34A1" w:rsidRPr="00410E63">
        <w:t>li equivalenti emicranici</w:t>
      </w:r>
      <w:r w:rsidRPr="00410E63">
        <w:t>. Vi sono poi alcuni quadri clinici, definiti come complicanze dell’emi</w:t>
      </w:r>
      <w:r w:rsidR="006C34A1" w:rsidRPr="00410E63">
        <w:t>crania, tra cui sono da menzio</w:t>
      </w:r>
      <w:r w:rsidRPr="00410E63">
        <w:t>nare la stessa emicrania cronica e l’infarto emicranico.</w:t>
      </w:r>
    </w:p>
    <w:p w:rsidR="00A72B50" w:rsidRPr="00410E63" w:rsidRDefault="00A72B50" w:rsidP="00410E63">
      <w:pPr>
        <w:spacing w:line="360" w:lineRule="auto"/>
      </w:pPr>
      <w:r w:rsidRPr="00410E63">
        <w:t>L’impatto negativo sulla qualità di vita e i</w:t>
      </w:r>
      <w:r w:rsidR="00AA4247" w:rsidRPr="00410E63">
        <w:t xml:space="preserve"> costi sociali dell’emicrania </w:t>
      </w:r>
      <w:r w:rsidRPr="00410E63">
        <w:t>rendono indispensabile un precoce e corretto inquadramento diagnostico di questa cefalea primaria, che deve coinvolgere in primis i medici di medicina generale e poi i centri specialistici dedicati allo studio delle cefalee</w:t>
      </w:r>
      <w:r w:rsidR="006C34A1" w:rsidRPr="00410E63">
        <w:t>.</w:t>
      </w:r>
    </w:p>
    <w:p w:rsidR="00A72B50" w:rsidRPr="00410E63" w:rsidRDefault="00A72B50" w:rsidP="00410E63">
      <w:pPr>
        <w:spacing w:line="360" w:lineRule="auto"/>
      </w:pPr>
      <w:r w:rsidRPr="00410E63">
        <w:t>Formulare una diagnosi di emicrania è fondamentale anche per consentire un adeguato approccio terapeutico che si avvale attualmente di numerosi presidi e, grazie alle</w:t>
      </w:r>
      <w:r w:rsidR="006C34A1" w:rsidRPr="00410E63">
        <w:t xml:space="preserve"> più recenti acquisizioni pato</w:t>
      </w:r>
      <w:r w:rsidRPr="00410E63">
        <w:t>genetiche, di farmaci specifici per l’attacco</w:t>
      </w:r>
      <w:r w:rsidR="006C34A1" w:rsidRPr="00410E63">
        <w:t>.</w:t>
      </w:r>
    </w:p>
    <w:p w:rsidR="004B0F06" w:rsidRPr="00410E63" w:rsidRDefault="004B0F06" w:rsidP="00410E63">
      <w:pPr>
        <w:spacing w:line="360" w:lineRule="auto"/>
        <w:rPr>
          <w:b/>
          <w:sz w:val="24"/>
          <w:szCs w:val="24"/>
        </w:rPr>
      </w:pPr>
      <w:r w:rsidRPr="00410E63">
        <w:rPr>
          <w:b/>
          <w:sz w:val="24"/>
          <w:szCs w:val="24"/>
        </w:rPr>
        <w:t>GESTIONE DELL’ATTACCO EMICRANICO</w:t>
      </w:r>
    </w:p>
    <w:p w:rsidR="00AA4247" w:rsidRPr="00410E63" w:rsidRDefault="00AA4247" w:rsidP="00410E63">
      <w:pPr>
        <w:spacing w:line="360" w:lineRule="auto"/>
      </w:pPr>
      <w:r w:rsidRPr="00410E63">
        <w:rPr>
          <w:b/>
        </w:rPr>
        <w:t>La sola</w:t>
      </w:r>
      <w:r w:rsidR="00EA57C8" w:rsidRPr="00410E63">
        <w:rPr>
          <w:b/>
        </w:rPr>
        <w:t xml:space="preserve"> terapia sintomatica è indicata</w:t>
      </w:r>
      <w:r w:rsidRPr="00410E63">
        <w:rPr>
          <w:b/>
        </w:rPr>
        <w:t xml:space="preserve"> quando una cefalea disabilitante sia presente per meno di 4 giorni al mese.</w:t>
      </w:r>
      <w:r w:rsidR="00EA57C8" w:rsidRPr="00410E63">
        <w:rPr>
          <w:b/>
        </w:rPr>
        <w:t xml:space="preserve"> </w:t>
      </w:r>
      <w:r w:rsidR="00EA57C8" w:rsidRPr="00410E63">
        <w:t xml:space="preserve">Andrebbe invece instaurata una terapia di profilassi accanto alla terapia sintomatica, se sono presenti almeno 4 giorni al mese di cefalea disabilitante. Si può impostare una terapia di profilassi anche quando gli attacchi disabilitanti siano presenti per meno di 4 giorni al mese ma non siano </w:t>
      </w:r>
      <w:proofErr w:type="spellStart"/>
      <w:r w:rsidR="00EA57C8" w:rsidRPr="00410E63">
        <w:t>responsivi</w:t>
      </w:r>
      <w:proofErr w:type="spellEnd"/>
      <w:r w:rsidR="00EA57C8" w:rsidRPr="00410E63">
        <w:t xml:space="preserve"> alla terapia sintomatica.</w:t>
      </w:r>
    </w:p>
    <w:p w:rsidR="00A72B50" w:rsidRPr="00410E63" w:rsidRDefault="00B504DE" w:rsidP="00410E63">
      <w:pPr>
        <w:spacing w:line="360" w:lineRule="auto"/>
      </w:pPr>
      <w:r w:rsidRPr="00410E63">
        <w:lastRenderedPageBreak/>
        <w:t>L’anamnesi specifica va supportata dall’uso del diario che consente di conoscere le caratteristiche delle crisi e orientare la scelta del farmaco per l’attacco. Permette anche di verificare se il paziente soffre di più tipi di cefalea, in particolare anche di attacchi di cefalea di tipo tensivo, che possono necessitare di un trattamento sintomatico diverso</w:t>
      </w:r>
      <w:r w:rsidR="00AA4247" w:rsidRPr="00410E63">
        <w:t>.</w:t>
      </w:r>
    </w:p>
    <w:p w:rsidR="00B504DE" w:rsidRPr="00410E63" w:rsidRDefault="00B504DE" w:rsidP="00410E63">
      <w:pPr>
        <w:spacing w:line="360" w:lineRule="auto"/>
      </w:pPr>
      <w:r w:rsidRPr="00410E63">
        <w:t xml:space="preserve">Per la scelta terapeutica è fondamentale l’anamnesi accurata relativa ai farmaci assunti in </w:t>
      </w:r>
      <w:r w:rsidR="004B0F06" w:rsidRPr="00410E63">
        <w:t>precedenza (effi</w:t>
      </w:r>
      <w:r w:rsidRPr="00410E63">
        <w:t>cacia, inefficacia, perdita di efficacia, effetti indesiderati), che permette un trattamento più mirato</w:t>
      </w:r>
      <w:r w:rsidR="004B0F06" w:rsidRPr="00410E63">
        <w:t xml:space="preserve">. </w:t>
      </w:r>
      <w:r w:rsidRPr="00410E63">
        <w:t xml:space="preserve">Deve essere indagata la presenza di altre patologie concomitanti </w:t>
      </w:r>
      <w:r w:rsidR="004B0F06" w:rsidRPr="00410E63">
        <w:t>che sono in grado di in</w:t>
      </w:r>
      <w:r w:rsidRPr="00410E63">
        <w:t>fluenzare la scelta terapeutica: a</w:t>
      </w:r>
      <w:r w:rsidR="00410E63" w:rsidRPr="00410E63">
        <w:t>d</w:t>
      </w:r>
      <w:r w:rsidRPr="00410E63">
        <w:t xml:space="preserve"> esempio, una cardiopatia ischemica è una controindicazione all’uso dei </w:t>
      </w:r>
      <w:proofErr w:type="spellStart"/>
      <w:r w:rsidRPr="00410E63">
        <w:t>triptani</w:t>
      </w:r>
      <w:proofErr w:type="spellEnd"/>
      <w:r w:rsidRPr="00410E63">
        <w:t>, la presenza di ulcera gastro-duodenale è una controindicazione all’uso di FANS.</w:t>
      </w:r>
    </w:p>
    <w:p w:rsidR="00756BA6" w:rsidRPr="00410E63" w:rsidRDefault="00560B84" w:rsidP="00410E63">
      <w:pPr>
        <w:spacing w:line="360" w:lineRule="auto"/>
        <w:rPr>
          <w:rFonts w:eastAsia="Times New Roman" w:cs="Times New Roman"/>
          <w:lang w:eastAsia="it-IT"/>
        </w:rPr>
      </w:pPr>
      <w:r w:rsidRPr="00410E63">
        <w:t xml:space="preserve">Le possibili strategie nella terapia dell’attacco emicranico sono due:un </w:t>
      </w:r>
      <w:r w:rsidR="004B0F06" w:rsidRPr="00410E63">
        <w:rPr>
          <w:b/>
        </w:rPr>
        <w:t>approccio graduale (</w:t>
      </w:r>
      <w:proofErr w:type="spellStart"/>
      <w:r w:rsidR="004B0F06" w:rsidRPr="00410E63">
        <w:rPr>
          <w:b/>
        </w:rPr>
        <w:t>step</w:t>
      </w:r>
      <w:proofErr w:type="spellEnd"/>
      <w:r w:rsidR="004B0F06" w:rsidRPr="00410E63">
        <w:rPr>
          <w:b/>
        </w:rPr>
        <w:t xml:space="preserve"> care)</w:t>
      </w:r>
      <w:r w:rsidR="004B0F06" w:rsidRPr="00410E63">
        <w:t xml:space="preserve"> e </w:t>
      </w:r>
      <w:r w:rsidRPr="00410E63">
        <w:t xml:space="preserve">un </w:t>
      </w:r>
      <w:r w:rsidR="004B0F06" w:rsidRPr="00410E63">
        <w:rPr>
          <w:b/>
        </w:rPr>
        <w:t>approccio stratifica</w:t>
      </w:r>
      <w:r w:rsidRPr="00410E63">
        <w:rPr>
          <w:b/>
        </w:rPr>
        <w:t>to (</w:t>
      </w:r>
      <w:proofErr w:type="spellStart"/>
      <w:r w:rsidRPr="00410E63">
        <w:rPr>
          <w:b/>
        </w:rPr>
        <w:t>stratified</w:t>
      </w:r>
      <w:proofErr w:type="spellEnd"/>
      <w:r w:rsidRPr="00410E63">
        <w:rPr>
          <w:b/>
        </w:rPr>
        <w:t>)</w:t>
      </w:r>
      <w:r w:rsidRPr="00410E63">
        <w:t xml:space="preserve">. </w:t>
      </w:r>
      <w:r w:rsidR="004B0F06" w:rsidRPr="00410E63">
        <w:t>L’approccio graduale</w:t>
      </w:r>
      <w:r w:rsidRPr="00410E63">
        <w:t xml:space="preserve"> (attualmente abbandonato) </w:t>
      </w:r>
      <w:r w:rsidR="004B0F06" w:rsidRPr="00410E63">
        <w:t>prevede l’utilizzo di farmaci non specifici come prima scelta e di farmaci specifici come seconda scelta i</w:t>
      </w:r>
      <w:r w:rsidRPr="00410E63">
        <w:t xml:space="preserve">n caso di inefficacia dei primi. </w:t>
      </w:r>
      <w:r w:rsidR="004B0F06" w:rsidRPr="00410E63">
        <w:t>L’approccio stratificatosi fonda sulla preliminare valutazione dell’intensità degli attacchi in un dato paziente che consente, sin dall’inizio, la scelta terapeutica prevedibilmente più adeguata per il singolo attacco. Esso prevede la somministrazione di analgesici</w:t>
      </w:r>
      <w:r w:rsidR="00942835" w:rsidRPr="00410E63">
        <w:t xml:space="preserve"> (FANS, paracetamolo) o loro combinazioni</w:t>
      </w:r>
      <w:r w:rsidR="004B0F06" w:rsidRPr="00410E63">
        <w:t xml:space="preserve"> </w:t>
      </w:r>
      <w:r w:rsidR="00942835" w:rsidRPr="00410E63">
        <w:t xml:space="preserve">come prima scelta </w:t>
      </w:r>
      <w:r w:rsidR="004B0F06" w:rsidRPr="00410E63">
        <w:t xml:space="preserve">nelle crisi </w:t>
      </w:r>
      <w:proofErr w:type="spellStart"/>
      <w:r w:rsidR="004B0F06" w:rsidRPr="00410E63">
        <w:t>medio-lievi</w:t>
      </w:r>
      <w:proofErr w:type="spellEnd"/>
      <w:r w:rsidR="00942835" w:rsidRPr="00410E63">
        <w:t xml:space="preserve">, </w:t>
      </w:r>
      <w:r w:rsidR="00942835" w:rsidRPr="00410E63">
        <w:rPr>
          <w:rFonts w:eastAsia="Times New Roman" w:cs="Times New Roman"/>
          <w:lang w:eastAsia="it-IT"/>
        </w:rPr>
        <w:t xml:space="preserve">non connesse a vomito o nausea grave, </w:t>
      </w:r>
      <w:r w:rsidR="00942835" w:rsidRPr="00410E63">
        <w:t>e</w:t>
      </w:r>
      <w:r w:rsidR="004B0F06" w:rsidRPr="00410E63">
        <w:t xml:space="preserve"> di </w:t>
      </w:r>
      <w:proofErr w:type="spellStart"/>
      <w:r w:rsidR="004B0F06" w:rsidRPr="00410E63">
        <w:t>triptani</w:t>
      </w:r>
      <w:proofErr w:type="spellEnd"/>
      <w:r w:rsidR="004B0F06" w:rsidRPr="00410E63">
        <w:t xml:space="preserve"> in quelle</w:t>
      </w:r>
      <w:r w:rsidR="00756BA6" w:rsidRPr="00410E63">
        <w:t xml:space="preserve"> </w:t>
      </w:r>
      <w:proofErr w:type="spellStart"/>
      <w:r w:rsidR="00756BA6" w:rsidRPr="00410E63">
        <w:t>medio-forti</w:t>
      </w:r>
      <w:proofErr w:type="spellEnd"/>
      <w:r w:rsidR="00756BA6" w:rsidRPr="00410E63">
        <w:t>.</w:t>
      </w:r>
      <w:r w:rsidR="00942835" w:rsidRPr="00410E63">
        <w:t xml:space="preserve"> Quando complicati da vomito o nausea</w:t>
      </w:r>
      <w:r w:rsidR="00AA4247" w:rsidRPr="00410E63">
        <w:t xml:space="preserve"> </w:t>
      </w:r>
      <w:r w:rsidR="00942835" w:rsidRPr="00410E63">
        <w:t>severi,gli attacchi di emicrania gravi</w:t>
      </w:r>
      <w:r w:rsidR="00AA4247" w:rsidRPr="00410E63">
        <w:t>,</w:t>
      </w:r>
      <w:r w:rsidR="00942835" w:rsidRPr="00410E63">
        <w:t xml:space="preserve"> possono essere trattati con farmaci specifici </w:t>
      </w:r>
      <w:r w:rsidR="00943EC6" w:rsidRPr="00410E63">
        <w:t xml:space="preserve">non somministrati per </w:t>
      </w:r>
      <w:proofErr w:type="spellStart"/>
      <w:r w:rsidR="00943EC6" w:rsidRPr="00410E63">
        <w:t>os</w:t>
      </w:r>
      <w:proofErr w:type="spellEnd"/>
      <w:r w:rsidR="00943EC6" w:rsidRPr="00410E63">
        <w:t xml:space="preserve"> come per esempio</w:t>
      </w:r>
      <w:r w:rsidR="00942835" w:rsidRPr="00410E63">
        <w:t xml:space="preserve"> </w:t>
      </w:r>
      <w:proofErr w:type="spellStart"/>
      <w:r w:rsidR="00942835" w:rsidRPr="00410E63">
        <w:t>sumatriptan</w:t>
      </w:r>
      <w:proofErr w:type="spellEnd"/>
      <w:r w:rsidR="00942835" w:rsidRPr="00410E63">
        <w:t xml:space="preserve"> pe</w:t>
      </w:r>
      <w:r w:rsidR="00943EC6" w:rsidRPr="00410E63">
        <w:t xml:space="preserve">r via sottocutanea </w:t>
      </w:r>
      <w:proofErr w:type="spellStart"/>
      <w:r w:rsidR="00943EC6" w:rsidRPr="00410E63">
        <w:t>sumatriptan</w:t>
      </w:r>
      <w:proofErr w:type="spellEnd"/>
      <w:r w:rsidR="00943EC6" w:rsidRPr="00410E63">
        <w:t xml:space="preserve"> o </w:t>
      </w:r>
      <w:proofErr w:type="spellStart"/>
      <w:r w:rsidR="00943EC6" w:rsidRPr="00410E63">
        <w:t>zolmitriptan</w:t>
      </w:r>
      <w:proofErr w:type="spellEnd"/>
      <w:r w:rsidR="00942835" w:rsidRPr="00410E63">
        <w:t xml:space="preserve"> </w:t>
      </w:r>
      <w:r w:rsidR="00943EC6" w:rsidRPr="00410E63">
        <w:t xml:space="preserve">per via nasale, agenti antiemetici e </w:t>
      </w:r>
      <w:proofErr w:type="spellStart"/>
      <w:r w:rsidR="00942835" w:rsidRPr="00410E63">
        <w:t>diidroergotamina</w:t>
      </w:r>
      <w:proofErr w:type="spellEnd"/>
      <w:r w:rsidR="00942835" w:rsidRPr="00410E63">
        <w:t xml:space="preserve"> parenterale.</w:t>
      </w:r>
      <w:r w:rsidR="00756BA6" w:rsidRPr="00410E63">
        <w:t xml:space="preserve"> La terapia dell'emicrania spazia quindi dall'uso di semplici analgesici come i farmaci antinfiammatori non steroidei (FANS) o </w:t>
      </w:r>
      <w:r w:rsidR="00942835" w:rsidRPr="00410E63">
        <w:t xml:space="preserve">il </w:t>
      </w:r>
      <w:r w:rsidR="00410E63" w:rsidRPr="00410E63">
        <w:t xml:space="preserve">paracetamolo ai </w:t>
      </w:r>
      <w:proofErr w:type="spellStart"/>
      <w:r w:rsidR="00410E63" w:rsidRPr="00410E63">
        <w:t>triptani</w:t>
      </w:r>
      <w:proofErr w:type="spellEnd"/>
      <w:r w:rsidR="00410E63" w:rsidRPr="00410E63">
        <w:t xml:space="preserve">, </w:t>
      </w:r>
      <w:r w:rsidR="00756BA6" w:rsidRPr="00410E63">
        <w:t xml:space="preserve">agli antiemetici, alla </w:t>
      </w:r>
      <w:proofErr w:type="spellStart"/>
      <w:r w:rsidR="00756BA6" w:rsidRPr="00410E63">
        <w:t>diidroergotamina</w:t>
      </w:r>
      <w:proofErr w:type="spellEnd"/>
      <w:r w:rsidR="00756BA6" w:rsidRPr="00410E63">
        <w:t xml:space="preserve"> (usata molto meno frequentemente).</w:t>
      </w:r>
    </w:p>
    <w:p w:rsidR="00AA4247" w:rsidRPr="00410E63" w:rsidRDefault="00756BA6" w:rsidP="00410E63">
      <w:pPr>
        <w:spacing w:line="360" w:lineRule="auto"/>
      </w:pPr>
      <w:r w:rsidRPr="00410E63">
        <w:t xml:space="preserve">I trattamenti sintomatici sono generalmente </w:t>
      </w:r>
      <w:r w:rsidRPr="00410E63">
        <w:rPr>
          <w:b/>
        </w:rPr>
        <w:t>più efficaci quanto più precocemente sono assunti</w:t>
      </w:r>
      <w:r w:rsidRPr="00410E63">
        <w:t xml:space="preserve"> al manifes</w:t>
      </w:r>
      <w:r w:rsidR="00AA4247" w:rsidRPr="00410E63">
        <w:t>tarsi dell’attacco di emicrania.</w:t>
      </w:r>
    </w:p>
    <w:p w:rsidR="00AA4247" w:rsidRPr="00410E63" w:rsidRDefault="00AA4247" w:rsidP="00410E63">
      <w:pPr>
        <w:spacing w:line="360" w:lineRule="auto"/>
      </w:pPr>
      <w:r w:rsidRPr="00410E63">
        <w:t>S</w:t>
      </w:r>
      <w:r w:rsidR="00756BA6" w:rsidRPr="00410E63">
        <w:t>embra che un alto dosaggio iniziale di un determinato farmaco, tenda a funzionare meglio di piccole dosi ripetute</w:t>
      </w:r>
      <w:r w:rsidRPr="00410E63">
        <w:t>.</w:t>
      </w:r>
    </w:p>
    <w:p w:rsidR="00AA4247" w:rsidRPr="00410E63" w:rsidRDefault="00502F0F" w:rsidP="00410E63">
      <w:pPr>
        <w:spacing w:line="360" w:lineRule="auto"/>
      </w:pPr>
      <w:r w:rsidRPr="00410E63">
        <w:t xml:space="preserve">Molti farmaci assunti per </w:t>
      </w:r>
      <w:proofErr w:type="spellStart"/>
      <w:r w:rsidRPr="00410E63">
        <w:t>os</w:t>
      </w:r>
      <w:proofErr w:type="spellEnd"/>
      <w:r w:rsidRPr="00410E63">
        <w:t xml:space="preserve"> sono inefficaci a causa dello</w:t>
      </w:r>
      <w:r w:rsidR="00756BA6" w:rsidRPr="00410E63">
        <w:t xml:space="preserve"> scarso assorbimento </w:t>
      </w:r>
      <w:r w:rsidRPr="00410E63">
        <w:t xml:space="preserve">dovuto alla stasi gastrica concomitante all’attacco di cefalea; per questo motivo nei pazienti che presentino precocemente durante l’attacco nausea o vomito andrebbe evitata la somministrazione per via </w:t>
      </w:r>
      <w:r w:rsidR="00410E63" w:rsidRPr="00410E63">
        <w:t>orale.</w:t>
      </w:r>
    </w:p>
    <w:p w:rsidR="00373BEB" w:rsidRDefault="00373BEB" w:rsidP="00410E63">
      <w:pPr>
        <w:spacing w:line="360" w:lineRule="auto"/>
        <w:rPr>
          <w:b/>
          <w:sz w:val="24"/>
          <w:szCs w:val="24"/>
        </w:rPr>
      </w:pPr>
    </w:p>
    <w:p w:rsidR="00373BEB" w:rsidRDefault="00373BEB" w:rsidP="00410E63">
      <w:pPr>
        <w:spacing w:line="360" w:lineRule="auto"/>
        <w:rPr>
          <w:b/>
          <w:sz w:val="24"/>
          <w:szCs w:val="24"/>
        </w:rPr>
      </w:pPr>
    </w:p>
    <w:p w:rsidR="00836588" w:rsidRPr="00410E63" w:rsidRDefault="00836588" w:rsidP="00410E63">
      <w:pPr>
        <w:spacing w:line="360" w:lineRule="auto"/>
        <w:rPr>
          <w:b/>
          <w:sz w:val="24"/>
          <w:szCs w:val="24"/>
        </w:rPr>
      </w:pPr>
      <w:r w:rsidRPr="00410E63">
        <w:rPr>
          <w:b/>
          <w:sz w:val="24"/>
          <w:szCs w:val="24"/>
        </w:rPr>
        <w:lastRenderedPageBreak/>
        <w:t>FANS</w:t>
      </w:r>
      <w:r w:rsidR="002E0D74" w:rsidRPr="00410E63">
        <w:rPr>
          <w:b/>
          <w:sz w:val="24"/>
          <w:szCs w:val="24"/>
        </w:rPr>
        <w:t xml:space="preserve"> E PARACETAMOLO</w:t>
      </w:r>
    </w:p>
    <w:p w:rsidR="0097589F" w:rsidRPr="00410E63" w:rsidRDefault="0097589F" w:rsidP="00410E63">
      <w:pPr>
        <w:spacing w:line="360" w:lineRule="auto"/>
      </w:pPr>
      <w:r w:rsidRPr="00410E63">
        <w:t xml:space="preserve">Sono indicati per il trattamento di attacchi di intensità lieve o moderata (grado 1 e 2) e in caso di </w:t>
      </w:r>
      <w:r w:rsidR="001267E2" w:rsidRPr="00410E63">
        <w:t>con</w:t>
      </w:r>
      <w:r w:rsidRPr="00410E63">
        <w:t xml:space="preserve">troindicazioni o inefficacia dei </w:t>
      </w:r>
      <w:proofErr w:type="spellStart"/>
      <w:r w:rsidRPr="00410E63">
        <w:t>triptani</w:t>
      </w:r>
      <w:proofErr w:type="spellEnd"/>
      <w:r w:rsidRPr="00410E63">
        <w:t xml:space="preserve">. Per alcuni farmaci di questa </w:t>
      </w:r>
      <w:r w:rsidR="001267E2" w:rsidRPr="00410E63">
        <w:t>classe è possibile l’automedica</w:t>
      </w:r>
      <w:r w:rsidRPr="00410E63">
        <w:t>zione e l’utilizzo di farmaci da banco o farmaci senza obbligo di prescrizione</w:t>
      </w:r>
    </w:p>
    <w:p w:rsidR="00836588" w:rsidRPr="00410E63" w:rsidRDefault="00836588" w:rsidP="00410E63">
      <w:pPr>
        <w:spacing w:line="360" w:lineRule="auto"/>
      </w:pPr>
      <w:r w:rsidRPr="00410E63">
        <w:t xml:space="preserve">I dati più consistenti di efficacia sono attualmente disponibili </w:t>
      </w:r>
      <w:r w:rsidR="00943EC6" w:rsidRPr="00410E63">
        <w:t xml:space="preserve">per </w:t>
      </w:r>
      <w:r w:rsidR="00943EC6" w:rsidRPr="00410E63">
        <w:rPr>
          <w:b/>
        </w:rPr>
        <w:t>acido acetilsalicilico</w:t>
      </w:r>
      <w:r w:rsidR="00943EC6" w:rsidRPr="00410E63">
        <w:t xml:space="preserve"> (da 650 a 1000 mg)</w:t>
      </w:r>
      <w:r w:rsidRPr="00410E63">
        <w:t xml:space="preserve">, </w:t>
      </w:r>
      <w:proofErr w:type="spellStart"/>
      <w:r w:rsidRPr="00410E63">
        <w:rPr>
          <w:b/>
        </w:rPr>
        <w:t>naprossene</w:t>
      </w:r>
      <w:proofErr w:type="spellEnd"/>
      <w:r w:rsidRPr="00410E63">
        <w:rPr>
          <w:b/>
        </w:rPr>
        <w:t xml:space="preserve"> sodico</w:t>
      </w:r>
      <w:r w:rsidR="00943EC6" w:rsidRPr="00410E63">
        <w:t xml:space="preserve"> </w:t>
      </w:r>
      <w:r w:rsidR="00AA4247" w:rsidRPr="00410E63">
        <w:t>(</w:t>
      </w:r>
      <w:r w:rsidR="00943EC6" w:rsidRPr="00410E63">
        <w:t>da 750 a 1250 mg)</w:t>
      </w:r>
      <w:r w:rsidRPr="00410E63">
        <w:t xml:space="preserve">, </w:t>
      </w:r>
      <w:proofErr w:type="spellStart"/>
      <w:r w:rsidRPr="00410E63">
        <w:rPr>
          <w:b/>
        </w:rPr>
        <w:t>ibuprofene</w:t>
      </w:r>
      <w:proofErr w:type="spellEnd"/>
      <w:r w:rsidR="00943EC6" w:rsidRPr="00410E63">
        <w:t xml:space="preserve"> (da 400 a 1200 mg)</w:t>
      </w:r>
      <w:r w:rsidRPr="00410E63">
        <w:t xml:space="preserve">, </w:t>
      </w:r>
      <w:proofErr w:type="spellStart"/>
      <w:r w:rsidRPr="00410E63">
        <w:rPr>
          <w:b/>
        </w:rPr>
        <w:t>diclofenac</w:t>
      </w:r>
      <w:proofErr w:type="spellEnd"/>
      <w:r w:rsidRPr="00410E63">
        <w:t xml:space="preserve"> sodico e potassico, </w:t>
      </w:r>
      <w:proofErr w:type="spellStart"/>
      <w:r w:rsidR="007D6AB7" w:rsidRPr="00410E63">
        <w:rPr>
          <w:b/>
        </w:rPr>
        <w:t>dexketoprofene</w:t>
      </w:r>
      <w:proofErr w:type="spellEnd"/>
      <w:r w:rsidR="007D6AB7" w:rsidRPr="00410E63">
        <w:t xml:space="preserve">, </w:t>
      </w:r>
      <w:proofErr w:type="spellStart"/>
      <w:r w:rsidRPr="00410E63">
        <w:rPr>
          <w:b/>
        </w:rPr>
        <w:t>metamizolo</w:t>
      </w:r>
      <w:proofErr w:type="spellEnd"/>
      <w:r w:rsidRPr="00410E63">
        <w:t xml:space="preserve"> e </w:t>
      </w:r>
      <w:proofErr w:type="spellStart"/>
      <w:r w:rsidRPr="00410E63">
        <w:t>ketorola</w:t>
      </w:r>
      <w:r w:rsidR="00AA4247" w:rsidRPr="00410E63">
        <w:t>c</w:t>
      </w:r>
      <w:proofErr w:type="spellEnd"/>
      <w:r w:rsidR="00AA4247" w:rsidRPr="00410E63">
        <w:t>,</w:t>
      </w:r>
      <w:r w:rsidRPr="00410E63">
        <w:t xml:space="preserve"> mentre più limitati o meno significativi sono i dati relativi a altri FANS. L’associazione di alcuni FANS (acido </w:t>
      </w:r>
      <w:proofErr w:type="spellStart"/>
      <w:r w:rsidRPr="00410E63">
        <w:t>tolfenamico</w:t>
      </w:r>
      <w:proofErr w:type="spellEnd"/>
      <w:r w:rsidRPr="00410E63">
        <w:t xml:space="preserve">, </w:t>
      </w:r>
      <w:proofErr w:type="spellStart"/>
      <w:r w:rsidRPr="00410E63">
        <w:t>diclofenac</w:t>
      </w:r>
      <w:proofErr w:type="spellEnd"/>
      <w:r w:rsidRPr="00410E63">
        <w:t xml:space="preserve"> potassico, paracetamolo) e caffeina non ne aumenta in maniera significativa l’efficacia</w:t>
      </w:r>
      <w:r w:rsidR="000E581A" w:rsidRPr="00410E63">
        <w:t>.</w:t>
      </w:r>
    </w:p>
    <w:p w:rsidR="007D6AB7" w:rsidRPr="00410E63" w:rsidRDefault="000E581A" w:rsidP="00410E63">
      <w:pPr>
        <w:spacing w:line="360" w:lineRule="auto"/>
      </w:pPr>
      <w:r w:rsidRPr="00410E63">
        <w:t xml:space="preserve">Una revisione sistematica del 2013 di otto studi randomizzati ha rilevato che il </w:t>
      </w:r>
      <w:proofErr w:type="spellStart"/>
      <w:r w:rsidRPr="00410E63">
        <w:rPr>
          <w:b/>
        </w:rPr>
        <w:t>ketorolac</w:t>
      </w:r>
      <w:proofErr w:type="spellEnd"/>
      <w:r w:rsidRPr="00410E63">
        <w:t xml:space="preserve"> parenterale (30 mg per via endovenosa o 6</w:t>
      </w:r>
      <w:r w:rsidR="00AA4247" w:rsidRPr="00410E63">
        <w:t>0 mg per via intramuscolare) è</w:t>
      </w:r>
      <w:r w:rsidRPr="00410E63">
        <w:t xml:space="preserve"> efficace per l'</w:t>
      </w:r>
      <w:r w:rsidR="00AA4247" w:rsidRPr="00410E63">
        <w:t>emicrania acuta quanto l’uso di</w:t>
      </w:r>
      <w:r w:rsidRPr="00410E63">
        <w:t xml:space="preserve"> farmaci specifici.</w:t>
      </w:r>
    </w:p>
    <w:p w:rsidR="007D6AB7" w:rsidRPr="00410E63" w:rsidRDefault="000E581A" w:rsidP="00410E63">
      <w:pPr>
        <w:spacing w:line="360" w:lineRule="auto"/>
      </w:pPr>
      <w:r w:rsidRPr="00410E63">
        <w:t>Anche se i dati sono limitati, l’</w:t>
      </w:r>
      <w:proofErr w:type="spellStart"/>
      <w:r w:rsidRPr="00410E63">
        <w:rPr>
          <w:b/>
        </w:rPr>
        <w:t>indometacina</w:t>
      </w:r>
      <w:proofErr w:type="spellEnd"/>
      <w:r w:rsidRPr="00410E63">
        <w:t xml:space="preserve"> sembra essere efficace come terapia sintomatica per l'emicrania. Si tratta di un FANS potente, disponibile anche in supposte e quindi utile in chi presenta nausea e vomito durante </w:t>
      </w:r>
      <w:r w:rsidR="001267E2" w:rsidRPr="00410E63">
        <w:t>l’attacco.</w:t>
      </w:r>
    </w:p>
    <w:p w:rsidR="001267E2" w:rsidRPr="00410E63" w:rsidRDefault="001267E2" w:rsidP="00410E63">
      <w:pPr>
        <w:spacing w:line="360" w:lineRule="auto"/>
      </w:pPr>
      <w:r w:rsidRPr="00410E63">
        <w:t xml:space="preserve">Il </w:t>
      </w:r>
      <w:proofErr w:type="spellStart"/>
      <w:r w:rsidRPr="00410E63">
        <w:rPr>
          <w:b/>
        </w:rPr>
        <w:t>metamizolo</w:t>
      </w:r>
      <w:proofErr w:type="spellEnd"/>
      <w:r w:rsidRPr="00410E63">
        <w:t xml:space="preserve"> (</w:t>
      </w:r>
      <w:proofErr w:type="spellStart"/>
      <w:r w:rsidRPr="00410E63">
        <w:t>dipirone</w:t>
      </w:r>
      <w:proofErr w:type="spellEnd"/>
      <w:r w:rsidRPr="00410E63">
        <w:t xml:space="preserve"> monoidrato) è stato testato sia per via orale che </w:t>
      </w:r>
      <w:proofErr w:type="spellStart"/>
      <w:r w:rsidRPr="00410E63">
        <w:t>e.v.</w:t>
      </w:r>
      <w:proofErr w:type="spellEnd"/>
      <w:r w:rsidRPr="00410E63">
        <w:t xml:space="preserve"> e si è dimostrato efficace nel trattamento dell’attacco anche se deve essere tenuto in considerazione il rischio di sviluppare agranulocitosi e ipotensione.</w:t>
      </w:r>
    </w:p>
    <w:p w:rsidR="001267E2" w:rsidRPr="00410E63" w:rsidRDefault="001267E2" w:rsidP="00410E63">
      <w:pPr>
        <w:spacing w:line="360" w:lineRule="auto"/>
      </w:pPr>
      <w:r w:rsidRPr="00410E63">
        <w:t>Per la maggior parte dei FANS gli studi che ne supportano l’efficacia non hanno indagato né la costanza di effetto nel tempo né la percentuale di recidive. Non è stata riportata l’efficacia dell’ASA e di altri FANS sull’aura emicranica.</w:t>
      </w:r>
    </w:p>
    <w:p w:rsidR="00836588" w:rsidRPr="00410E63" w:rsidRDefault="000E581A" w:rsidP="00410E63">
      <w:pPr>
        <w:spacing w:line="360" w:lineRule="auto"/>
      </w:pPr>
      <w:r w:rsidRPr="00410E63">
        <w:t xml:space="preserve">Non esistono studi che confrontano </w:t>
      </w:r>
      <w:r w:rsidR="007D6AB7" w:rsidRPr="00410E63">
        <w:t>l'efficacia di un FANS rispetto a un altro. Se un</w:t>
      </w:r>
      <w:r w:rsidRPr="00410E63">
        <w:t xml:space="preserve"> FAN</w:t>
      </w:r>
      <w:r w:rsidR="007D6AB7" w:rsidRPr="00410E63">
        <w:t>S dovesse risultare inefficace, può essere tentata la somministrazione di un altro agente della stessa classe.</w:t>
      </w:r>
    </w:p>
    <w:p w:rsidR="007D6AB7" w:rsidRPr="00410E63" w:rsidRDefault="007D6AB7" w:rsidP="00410E63">
      <w:pPr>
        <w:spacing w:line="360" w:lineRule="auto"/>
      </w:pPr>
      <w:r w:rsidRPr="00410E63">
        <w:t xml:space="preserve">È </w:t>
      </w:r>
      <w:r w:rsidR="00B143AD" w:rsidRPr="00410E63">
        <w:t xml:space="preserve">da notare che le percentuali di eventi avversi rilevate nei trial clinici </w:t>
      </w:r>
      <w:r w:rsidRPr="00410E63">
        <w:t>sull’utilizzo dei FANS nell’at</w:t>
      </w:r>
      <w:r w:rsidR="00B143AD" w:rsidRPr="00410E63">
        <w:t>tacco di emicrania sono di gran lunga inferiori a quelle riportate negli</w:t>
      </w:r>
      <w:r w:rsidRPr="00410E63">
        <w:t xml:space="preserve"> studi di somministrazione cro</w:t>
      </w:r>
      <w:r w:rsidR="00B143AD" w:rsidRPr="00410E63">
        <w:t>nica. Tali eventi avversi, occasionali nei pazienti emicranici nel caso di assunzione saltuaria, possono avere la stessa frequenza segnalata nell’uso cronico se vi è un’assunzione frequente di analgesici e FANS.</w:t>
      </w:r>
      <w:r w:rsidRPr="00410E63">
        <w:t xml:space="preserve"> Inoltre </w:t>
      </w:r>
      <w:r w:rsidRPr="00410E63">
        <w:rPr>
          <w:b/>
        </w:rPr>
        <w:t>l’assunzione quotidiana o quasi quotidiana di analgesici semplici e FANS può portare alla cronicizzazione dell’emicrania</w:t>
      </w:r>
      <w:r w:rsidRPr="00410E63">
        <w:t>.</w:t>
      </w:r>
    </w:p>
    <w:p w:rsidR="00373BEB" w:rsidRDefault="00373BEB" w:rsidP="00410E63">
      <w:pPr>
        <w:spacing w:line="360" w:lineRule="auto"/>
        <w:rPr>
          <w:b/>
          <w:sz w:val="24"/>
          <w:szCs w:val="24"/>
        </w:rPr>
      </w:pPr>
    </w:p>
    <w:p w:rsidR="00D118E6" w:rsidRPr="00410E63" w:rsidRDefault="00D118E6" w:rsidP="00410E63">
      <w:pPr>
        <w:spacing w:line="360" w:lineRule="auto"/>
        <w:rPr>
          <w:b/>
          <w:sz w:val="24"/>
          <w:szCs w:val="24"/>
        </w:rPr>
      </w:pPr>
      <w:r w:rsidRPr="00410E63">
        <w:rPr>
          <w:b/>
          <w:sz w:val="24"/>
          <w:szCs w:val="24"/>
        </w:rPr>
        <w:lastRenderedPageBreak/>
        <w:t>TRIPTANI</w:t>
      </w:r>
    </w:p>
    <w:p w:rsidR="001A6C79" w:rsidRPr="00410E63" w:rsidRDefault="007D6AB7" w:rsidP="00410E63">
      <w:pPr>
        <w:spacing w:line="360" w:lineRule="auto"/>
      </w:pPr>
      <w:r w:rsidRPr="00410E63">
        <w:t xml:space="preserve">Sono farmaci di prima scelta per il trattamento degli attacchi emicranici (Livello di raccomandazione I per tutti i </w:t>
      </w:r>
      <w:proofErr w:type="spellStart"/>
      <w:r w:rsidRPr="00410E63">
        <w:t>triptani</w:t>
      </w:r>
      <w:proofErr w:type="spellEnd"/>
      <w:r w:rsidRPr="00410E63">
        <w:t>)</w:t>
      </w:r>
      <w:r w:rsidR="006754E2" w:rsidRPr="00410E63">
        <w:t xml:space="preserve"> perché considerati farmaci ‘specifici’ per l’attacco emicranico acuto, in quanto agirebbero sul meccanismo fisiopatologico della cefalea. Nonostante ciò la risposta ai </w:t>
      </w:r>
      <w:proofErr w:type="spellStart"/>
      <w:r w:rsidR="006754E2" w:rsidRPr="00410E63">
        <w:t>triptani</w:t>
      </w:r>
      <w:proofErr w:type="spellEnd"/>
      <w:r w:rsidR="006754E2" w:rsidRPr="00410E63">
        <w:t xml:space="preserve"> non consente di porre diagnosi di emicrania, in quanto anche forme di cefalea secondaria possono essere </w:t>
      </w:r>
      <w:proofErr w:type="spellStart"/>
      <w:r w:rsidR="006754E2" w:rsidRPr="00410E63">
        <w:t>responsive</w:t>
      </w:r>
      <w:proofErr w:type="spellEnd"/>
      <w:r w:rsidR="006754E2" w:rsidRPr="00410E63">
        <w:t xml:space="preserve"> a tali farmaci. </w:t>
      </w:r>
      <w:r w:rsidRPr="00410E63">
        <w:t>Sono indicati per il trattamento di crisi emicranic</w:t>
      </w:r>
      <w:r w:rsidR="001A6C79" w:rsidRPr="00410E63">
        <w:t>he di intensità forte o moderata.</w:t>
      </w:r>
      <w:r w:rsidRPr="00410E63">
        <w:t xml:space="preserve"> Tutti i </w:t>
      </w:r>
      <w:proofErr w:type="spellStart"/>
      <w:r w:rsidRPr="00410E63">
        <w:t>triptani</w:t>
      </w:r>
      <w:proofErr w:type="spellEnd"/>
      <w:r w:rsidRPr="00410E63">
        <w:t xml:space="preserve"> si sono dimostrati efficaci non solo sul dolore ma a</w:t>
      </w:r>
      <w:r w:rsidR="001A6C79" w:rsidRPr="00410E63">
        <w:t>nche sui sintomi di accompagna</w:t>
      </w:r>
      <w:r w:rsidRPr="00410E63">
        <w:t>mento (foto- e fonofobia, nausea e vomito) e sulla d</w:t>
      </w:r>
      <w:r w:rsidR="001A6C79" w:rsidRPr="00410E63">
        <w:t xml:space="preserve">isabilità correlata all’attacco. </w:t>
      </w:r>
      <w:r w:rsidRPr="00410E63">
        <w:t xml:space="preserve">L’efficacia dei </w:t>
      </w:r>
      <w:proofErr w:type="spellStart"/>
      <w:r w:rsidRPr="00410E63">
        <w:t>triptani</w:t>
      </w:r>
      <w:proofErr w:type="spellEnd"/>
      <w:r w:rsidRPr="00410E63">
        <w:t xml:space="preserve"> è stata confermata nel trattamento di più attacchi (</w:t>
      </w:r>
      <w:r w:rsidRPr="00410E63">
        <w:rPr>
          <w:b/>
        </w:rPr>
        <w:t>costanza dell’effetto</w:t>
      </w:r>
      <w:r w:rsidRPr="00410E63">
        <w:t>), nel trattamento a lungo termine di un numero elevato di crisi nello stess</w:t>
      </w:r>
      <w:r w:rsidR="001A6C79" w:rsidRPr="00410E63">
        <w:t>o paziente (</w:t>
      </w:r>
      <w:r w:rsidR="001A6C79" w:rsidRPr="00410E63">
        <w:rPr>
          <w:b/>
        </w:rPr>
        <w:t xml:space="preserve">assenza di </w:t>
      </w:r>
      <w:proofErr w:type="spellStart"/>
      <w:r w:rsidR="001A6C79" w:rsidRPr="00410E63">
        <w:rPr>
          <w:b/>
        </w:rPr>
        <w:t>tachifi</w:t>
      </w:r>
      <w:r w:rsidRPr="00410E63">
        <w:rPr>
          <w:b/>
        </w:rPr>
        <w:t>lassi</w:t>
      </w:r>
      <w:proofErr w:type="spellEnd"/>
      <w:r w:rsidRPr="00410E63">
        <w:t xml:space="preserve">) e nel trattamento sintomatico degli attacchi correlati </w:t>
      </w:r>
      <w:r w:rsidR="001A6C79" w:rsidRPr="00410E63">
        <w:t>al ciclo mestruale.</w:t>
      </w:r>
    </w:p>
    <w:p w:rsidR="001A6C79" w:rsidRPr="00410E63" w:rsidRDefault="007D6AB7" w:rsidP="00410E63">
      <w:pPr>
        <w:spacing w:line="360" w:lineRule="auto"/>
      </w:pPr>
      <w:r w:rsidRPr="00410E63">
        <w:t>Nonostante la disponibilità di studi di confronto tra le formulazioni ora</w:t>
      </w:r>
      <w:r w:rsidR="001A6C79" w:rsidRPr="00410E63">
        <w:t xml:space="preserve">li dei vari </w:t>
      </w:r>
      <w:proofErr w:type="spellStart"/>
      <w:r w:rsidR="001A6C79" w:rsidRPr="00410E63">
        <w:t>triptani</w:t>
      </w:r>
      <w:proofErr w:type="spellEnd"/>
      <w:r w:rsidR="001A6C79" w:rsidRPr="00410E63">
        <w:t xml:space="preserve"> non è pos</w:t>
      </w:r>
      <w:r w:rsidRPr="00410E63">
        <w:t xml:space="preserve">sibile al momento identificare un parametro globale di efficacia che permetta di stabilire con certezza la superiorità di un </w:t>
      </w:r>
      <w:proofErr w:type="spellStart"/>
      <w:r w:rsidRPr="00410E63">
        <w:t>triptano</w:t>
      </w:r>
      <w:proofErr w:type="spellEnd"/>
      <w:r w:rsidRPr="00410E63">
        <w:t xml:space="preserve"> rispetto all’altro nella pratica clin</w:t>
      </w:r>
      <w:r w:rsidR="001A6C79" w:rsidRPr="00410E63">
        <w:t>ica.</w:t>
      </w:r>
      <w:r w:rsidR="00EE1FD0" w:rsidRPr="00410E63">
        <w:t xml:space="preserve"> Sembra che </w:t>
      </w:r>
      <w:proofErr w:type="spellStart"/>
      <w:r w:rsidR="00EE1FD0" w:rsidRPr="00410E63">
        <w:t>rizatriptan</w:t>
      </w:r>
      <w:proofErr w:type="spellEnd"/>
      <w:r w:rsidR="00EE1FD0" w:rsidRPr="00410E63">
        <w:t xml:space="preserve"> (10 mg), </w:t>
      </w:r>
      <w:proofErr w:type="spellStart"/>
      <w:r w:rsidR="00EE1FD0" w:rsidRPr="00410E63">
        <w:t>eletriptan</w:t>
      </w:r>
      <w:proofErr w:type="spellEnd"/>
      <w:r w:rsidR="00EE1FD0" w:rsidRPr="00410E63">
        <w:t xml:space="preserve"> (80 mg), e </w:t>
      </w:r>
      <w:proofErr w:type="spellStart"/>
      <w:r w:rsidR="00EE1FD0" w:rsidRPr="00410E63">
        <w:t>almotriptan</w:t>
      </w:r>
      <w:proofErr w:type="spellEnd"/>
      <w:r w:rsidR="00EE1FD0" w:rsidRPr="00410E63">
        <w:t xml:space="preserve"> (12,5 mg).mostrino la più alta probabilità di successo</w:t>
      </w:r>
      <w:r w:rsidR="00FC17FC" w:rsidRPr="00410E63">
        <w:t xml:space="preserve">. I </w:t>
      </w:r>
      <w:r w:rsidR="00EE1FD0" w:rsidRPr="00410E63">
        <w:t>dati e l'esperie</w:t>
      </w:r>
      <w:r w:rsidR="00FC17FC" w:rsidRPr="00410E63">
        <w:t xml:space="preserve">nza clinica suggeriscono che </w:t>
      </w:r>
      <w:proofErr w:type="spellStart"/>
      <w:r w:rsidR="00EE1FD0" w:rsidRPr="00410E63">
        <w:t>sumatriptan</w:t>
      </w:r>
      <w:proofErr w:type="spellEnd"/>
      <w:r w:rsidR="00EE1FD0" w:rsidRPr="00410E63">
        <w:t xml:space="preserve">, </w:t>
      </w:r>
      <w:proofErr w:type="spellStart"/>
      <w:r w:rsidR="00EE1FD0" w:rsidRPr="00410E63">
        <w:t>rizatriptan</w:t>
      </w:r>
      <w:proofErr w:type="spellEnd"/>
      <w:r w:rsidR="00EE1FD0" w:rsidRPr="00410E63">
        <w:t xml:space="preserve">, </w:t>
      </w:r>
      <w:proofErr w:type="spellStart"/>
      <w:r w:rsidR="00EE1FD0" w:rsidRPr="00410E63">
        <w:t>eletriptan</w:t>
      </w:r>
      <w:proofErr w:type="spellEnd"/>
      <w:r w:rsidR="00EE1FD0" w:rsidRPr="00410E63">
        <w:t xml:space="preserve">, </w:t>
      </w:r>
      <w:proofErr w:type="spellStart"/>
      <w:r w:rsidR="00EE1FD0" w:rsidRPr="00410E63">
        <w:t>almotriptan</w:t>
      </w:r>
      <w:proofErr w:type="spellEnd"/>
      <w:r w:rsidR="00EE1FD0" w:rsidRPr="00410E63">
        <w:t xml:space="preserve"> e </w:t>
      </w:r>
      <w:proofErr w:type="spellStart"/>
      <w:r w:rsidR="00EE1FD0" w:rsidRPr="00410E63">
        <w:t>zolmitriptan</w:t>
      </w:r>
      <w:proofErr w:type="spellEnd"/>
      <w:r w:rsidR="00EE1FD0" w:rsidRPr="00410E63">
        <w:t xml:space="preserve"> s</w:t>
      </w:r>
      <w:r w:rsidR="00FC17FC" w:rsidRPr="00410E63">
        <w:t>ia</w:t>
      </w:r>
      <w:r w:rsidR="00EE1FD0" w:rsidRPr="00410E63">
        <w:t>no molto simili per via orale, ment</w:t>
      </w:r>
      <w:r w:rsidR="00FC17FC" w:rsidRPr="00410E63">
        <w:t xml:space="preserve">re </w:t>
      </w:r>
      <w:proofErr w:type="spellStart"/>
      <w:r w:rsidR="00FC17FC" w:rsidRPr="00410E63">
        <w:t>naratriptan</w:t>
      </w:r>
      <w:proofErr w:type="spellEnd"/>
      <w:r w:rsidR="00FC17FC" w:rsidRPr="00410E63">
        <w:t xml:space="preserve"> e </w:t>
      </w:r>
      <w:proofErr w:type="spellStart"/>
      <w:r w:rsidR="00FC17FC" w:rsidRPr="00410E63">
        <w:t>frovatriptan</w:t>
      </w:r>
      <w:proofErr w:type="spellEnd"/>
      <w:r w:rsidR="00FC17FC" w:rsidRPr="00410E63">
        <w:t xml:space="preserve"> abbiano una minore efficacia e una maggiore latenza d’azione; sembrano tuttavia mostrare anche una minore incidenza di effetti collaterali</w:t>
      </w:r>
      <w:r w:rsidR="00EE1FD0" w:rsidRPr="00410E63">
        <w:t xml:space="preserve">. Al di fuori delle differenze farmacocinetiche e farmacodinamiche, i dati di preferenza suggeriscono che non esiste un </w:t>
      </w:r>
      <w:proofErr w:type="spellStart"/>
      <w:r w:rsidR="00EE1FD0" w:rsidRPr="00410E63">
        <w:t>triptano</w:t>
      </w:r>
      <w:proofErr w:type="spellEnd"/>
      <w:r w:rsidR="00EE1FD0" w:rsidRPr="00410E63">
        <w:t xml:space="preserve"> ideale, ma che la terapia deve essere adattata a ogni singolo attacco e a ogni singolo paziente.</w:t>
      </w:r>
    </w:p>
    <w:p w:rsidR="00FC17FC" w:rsidRPr="00410E63" w:rsidRDefault="00FC17FC" w:rsidP="00410E63">
      <w:pPr>
        <w:spacing w:line="360" w:lineRule="auto"/>
      </w:pPr>
      <w:r w:rsidRPr="00410E63">
        <w:t xml:space="preserve">I </w:t>
      </w:r>
      <w:proofErr w:type="spellStart"/>
      <w:r w:rsidRPr="00410E63">
        <w:t>triptani</w:t>
      </w:r>
      <w:proofErr w:type="spellEnd"/>
      <w:r w:rsidRPr="00410E63">
        <w:t xml:space="preserve"> disponibili includono </w:t>
      </w:r>
      <w:proofErr w:type="spellStart"/>
      <w:r w:rsidRPr="00410E63">
        <w:t>sumatriptan</w:t>
      </w:r>
      <w:proofErr w:type="spellEnd"/>
      <w:r w:rsidRPr="00410E63">
        <w:t xml:space="preserve">, </w:t>
      </w:r>
      <w:proofErr w:type="spellStart"/>
      <w:r w:rsidRPr="00410E63">
        <w:t>zolmitriptan</w:t>
      </w:r>
      <w:proofErr w:type="spellEnd"/>
      <w:r w:rsidRPr="00410E63">
        <w:t xml:space="preserve">, </w:t>
      </w:r>
      <w:proofErr w:type="spellStart"/>
      <w:r w:rsidRPr="00410E63">
        <w:t>naratriptan</w:t>
      </w:r>
      <w:proofErr w:type="spellEnd"/>
      <w:r w:rsidRPr="00410E63">
        <w:t xml:space="preserve">, </w:t>
      </w:r>
      <w:proofErr w:type="spellStart"/>
      <w:r w:rsidRPr="00410E63">
        <w:t>rizatriptan</w:t>
      </w:r>
      <w:proofErr w:type="spellEnd"/>
      <w:r w:rsidRPr="00410E63">
        <w:t xml:space="preserve">, </w:t>
      </w:r>
      <w:proofErr w:type="spellStart"/>
      <w:r w:rsidRPr="00410E63">
        <w:t>almotriptan</w:t>
      </w:r>
      <w:proofErr w:type="spellEnd"/>
      <w:r w:rsidRPr="00410E63">
        <w:t xml:space="preserve">, </w:t>
      </w:r>
      <w:proofErr w:type="spellStart"/>
      <w:r w:rsidRPr="00410E63">
        <w:t>eletriptan</w:t>
      </w:r>
      <w:proofErr w:type="spellEnd"/>
      <w:r w:rsidRPr="00410E63">
        <w:t xml:space="preserve">, e </w:t>
      </w:r>
      <w:proofErr w:type="spellStart"/>
      <w:r w:rsidRPr="00410E63">
        <w:t>frovatriptan</w:t>
      </w:r>
      <w:proofErr w:type="spellEnd"/>
      <w:r w:rsidRPr="00410E63">
        <w:t xml:space="preserve">. </w:t>
      </w:r>
      <w:proofErr w:type="spellStart"/>
      <w:r w:rsidRPr="00410E63">
        <w:t>Sumatriptan</w:t>
      </w:r>
      <w:proofErr w:type="spellEnd"/>
      <w:r w:rsidRPr="00410E63">
        <w:t xml:space="preserve">, farmaco capostipite della classe, offre la maggiore versatilità per l’ampia gamma delle formulazioni disponibili (s.c., compresse, spray nasale, supposte). Le percentuali di risposta più elevate sono state ottenute con la formulazione sottocutanea. </w:t>
      </w:r>
      <w:proofErr w:type="spellStart"/>
      <w:r w:rsidRPr="00410E63">
        <w:t>Zolmitriptan</w:t>
      </w:r>
      <w:proofErr w:type="spellEnd"/>
      <w:r w:rsidRPr="00410E63">
        <w:t xml:space="preserve"> è disponibile sia per nasale e uso orale. Gli altri sono disponibili solo per uso orale.</w:t>
      </w:r>
      <w:r w:rsidR="00EA57C8" w:rsidRPr="00410E63">
        <w:t xml:space="preserve"> Sono disponibili formulazioni a rapida dissoluzione orale per </w:t>
      </w:r>
      <w:proofErr w:type="spellStart"/>
      <w:r w:rsidR="00EA57C8" w:rsidRPr="00410E63">
        <w:t>rizatriptan</w:t>
      </w:r>
      <w:proofErr w:type="spellEnd"/>
      <w:r w:rsidR="00EA57C8" w:rsidRPr="00410E63">
        <w:t xml:space="preserve"> e </w:t>
      </w:r>
      <w:proofErr w:type="spellStart"/>
      <w:r w:rsidR="00EA57C8" w:rsidRPr="00410E63">
        <w:t>zolmitriptan</w:t>
      </w:r>
      <w:proofErr w:type="spellEnd"/>
      <w:r w:rsidR="00EA57C8" w:rsidRPr="00410E63">
        <w:t xml:space="preserve">. Esse hanno un’efficacia analoga a quella delle formulazioni in compresse dello stesso dosaggio e i dati di far- </w:t>
      </w:r>
      <w:proofErr w:type="spellStart"/>
      <w:r w:rsidR="00EA57C8" w:rsidRPr="00410E63">
        <w:t>macocinetica</w:t>
      </w:r>
      <w:proofErr w:type="spellEnd"/>
      <w:r w:rsidR="00EA57C8" w:rsidRPr="00410E63">
        <w:t xml:space="preserve"> non suggeriscono il raggiungimento di livelli ematici più elevati in tempi più brevi. Tali formulazioni possono tuttavia rivelarsi utili per la facilità di assunzione, che non necessita di acqua.</w:t>
      </w:r>
    </w:p>
    <w:p w:rsidR="001A6C79" w:rsidRPr="00410E63" w:rsidRDefault="007D6AB7" w:rsidP="00410E63">
      <w:pPr>
        <w:spacing w:line="360" w:lineRule="auto"/>
      </w:pPr>
      <w:r w:rsidRPr="00410E63">
        <w:t>La percentuale di recidiva della cefalea varia dal 25% al 40% (valori lievemente superiori sono stati rilevati pe</w:t>
      </w:r>
      <w:r w:rsidR="001A6C79" w:rsidRPr="00410E63">
        <w:t xml:space="preserve">r il </w:t>
      </w:r>
      <w:proofErr w:type="spellStart"/>
      <w:r w:rsidR="001A6C79" w:rsidRPr="00410E63">
        <w:t>sumatriptan</w:t>
      </w:r>
      <w:proofErr w:type="spellEnd"/>
      <w:r w:rsidR="001A6C79" w:rsidRPr="00410E63">
        <w:t xml:space="preserve"> s.c.)</w:t>
      </w:r>
      <w:r w:rsidRPr="00410E63">
        <w:t xml:space="preserve">. In caso di recidiva una seconda dose di </w:t>
      </w:r>
      <w:proofErr w:type="spellStart"/>
      <w:r w:rsidRPr="00410E63">
        <w:t>triptano</w:t>
      </w:r>
      <w:proofErr w:type="spellEnd"/>
      <w:r w:rsidRPr="00410E63">
        <w:t xml:space="preserve"> è efficace </w:t>
      </w:r>
      <w:r w:rsidR="001A6C79" w:rsidRPr="00410E63">
        <w:t>nella maggioranza dei casi.</w:t>
      </w:r>
    </w:p>
    <w:p w:rsidR="004C64C8" w:rsidRPr="00410E63" w:rsidRDefault="004C64C8" w:rsidP="00410E63">
      <w:pPr>
        <w:spacing w:line="360" w:lineRule="auto"/>
      </w:pPr>
      <w:r w:rsidRPr="00410E63">
        <w:lastRenderedPageBreak/>
        <w:t xml:space="preserve">Nel caso di una risposta insoddisfacente a un </w:t>
      </w:r>
      <w:proofErr w:type="spellStart"/>
      <w:r w:rsidRPr="00410E63">
        <w:t>triptano</w:t>
      </w:r>
      <w:proofErr w:type="spellEnd"/>
      <w:r w:rsidRPr="00410E63">
        <w:t xml:space="preserve"> o di una recidiva del dolore, </w:t>
      </w:r>
      <w:r w:rsidR="00D118E6" w:rsidRPr="00410E63">
        <w:t xml:space="preserve">può essere usato un FANS. </w:t>
      </w:r>
      <w:r w:rsidRPr="00410E63">
        <w:t xml:space="preserve">Alcune evidenze cliniche suggeriscono che l’assunzione contemporanea di un </w:t>
      </w:r>
      <w:proofErr w:type="spellStart"/>
      <w:r w:rsidRPr="00410E63">
        <w:t>triptano</w:t>
      </w:r>
      <w:proofErr w:type="spellEnd"/>
      <w:r w:rsidR="00D118E6" w:rsidRPr="00410E63">
        <w:t xml:space="preserve"> e di un anal</w:t>
      </w:r>
      <w:r w:rsidRPr="00410E63">
        <w:t>gesico (</w:t>
      </w:r>
      <w:proofErr w:type="spellStart"/>
      <w:r w:rsidRPr="00410E63">
        <w:t>rizatriptan</w:t>
      </w:r>
      <w:proofErr w:type="spellEnd"/>
      <w:r w:rsidRPr="00410E63">
        <w:t xml:space="preserve"> e paracetamolo) o FANS (</w:t>
      </w:r>
      <w:r w:rsidRPr="00410E63">
        <w:rPr>
          <w:u w:val="single"/>
        </w:rPr>
        <w:t xml:space="preserve">in particolare </w:t>
      </w:r>
      <w:proofErr w:type="spellStart"/>
      <w:r w:rsidRPr="00410E63">
        <w:rPr>
          <w:u w:val="single"/>
        </w:rPr>
        <w:t>sumatriptan</w:t>
      </w:r>
      <w:proofErr w:type="spellEnd"/>
      <w:r w:rsidRPr="00410E63">
        <w:rPr>
          <w:u w:val="single"/>
        </w:rPr>
        <w:t xml:space="preserve"> e </w:t>
      </w:r>
      <w:proofErr w:type="spellStart"/>
      <w:r w:rsidRPr="00410E63">
        <w:rPr>
          <w:u w:val="single"/>
        </w:rPr>
        <w:t>naprossene</w:t>
      </w:r>
      <w:proofErr w:type="spellEnd"/>
      <w:r w:rsidR="00D118E6" w:rsidRPr="00410E63">
        <w:t xml:space="preserve">, ma anche </w:t>
      </w:r>
      <w:proofErr w:type="spellStart"/>
      <w:r w:rsidR="00D118E6" w:rsidRPr="00410E63">
        <w:t>ri</w:t>
      </w:r>
      <w:r w:rsidRPr="00410E63">
        <w:t>zatriptan</w:t>
      </w:r>
      <w:proofErr w:type="spellEnd"/>
      <w:r w:rsidRPr="00410E63">
        <w:t xml:space="preserve"> e acido </w:t>
      </w:r>
      <w:proofErr w:type="spellStart"/>
      <w:r w:rsidRPr="00410E63">
        <w:t>tolfenamico</w:t>
      </w:r>
      <w:proofErr w:type="spellEnd"/>
      <w:r w:rsidRPr="00410E63">
        <w:t xml:space="preserve">) ha una maggiore efficacia rispetto all’assunzione del solo </w:t>
      </w:r>
      <w:proofErr w:type="spellStart"/>
      <w:r w:rsidRPr="00410E63">
        <w:t>triptano</w:t>
      </w:r>
      <w:proofErr w:type="spellEnd"/>
      <w:r w:rsidRPr="00410E63">
        <w:t xml:space="preserve"> e permette un ritorno più rapido al normale funzionamento del paziente</w:t>
      </w:r>
    </w:p>
    <w:p w:rsidR="00D118E6" w:rsidRPr="00410E63" w:rsidRDefault="00D118E6" w:rsidP="00410E63">
      <w:pPr>
        <w:spacing w:line="360" w:lineRule="auto"/>
      </w:pPr>
      <w:r w:rsidRPr="00410E63">
        <w:t xml:space="preserve">Controindicazioni all’ uso di </w:t>
      </w:r>
      <w:proofErr w:type="spellStart"/>
      <w:r w:rsidRPr="00410E63">
        <w:t>triptani</w:t>
      </w:r>
      <w:proofErr w:type="spellEnd"/>
      <w:r w:rsidRPr="00410E63">
        <w:t xml:space="preserve"> sono: a</w:t>
      </w:r>
      <w:r w:rsidR="001A6C79" w:rsidRPr="00410E63">
        <w:t>namnesi positiva per cardiopatia ischemica, vasospasmo c</w:t>
      </w:r>
      <w:r w:rsidRPr="00410E63">
        <w:t>oronarico, patologia cerebrova</w:t>
      </w:r>
      <w:r w:rsidR="001A6C79" w:rsidRPr="00410E63">
        <w:t>scolare, patologie vascolari periferiche, ipertensione non controllata, emicrania di tipo</w:t>
      </w:r>
      <w:r w:rsidRPr="00410E63">
        <w:t xml:space="preserve"> basilare o emiplegica</w:t>
      </w:r>
      <w:r w:rsidR="001A6C79" w:rsidRPr="00410E63">
        <w:t>.</w:t>
      </w:r>
    </w:p>
    <w:p w:rsidR="001A6C79" w:rsidRPr="00410E63" w:rsidRDefault="001A6C79" w:rsidP="00410E63">
      <w:pPr>
        <w:spacing w:line="360" w:lineRule="auto"/>
      </w:pPr>
      <w:r w:rsidRPr="00410E63">
        <w:t xml:space="preserve">La normativa ministeriale vieta l’uso dei </w:t>
      </w:r>
      <w:proofErr w:type="spellStart"/>
      <w:r w:rsidRPr="00410E63">
        <w:t>triptani</w:t>
      </w:r>
      <w:proofErr w:type="spellEnd"/>
      <w:r w:rsidRPr="00410E63">
        <w:t xml:space="preserve"> al di sopra dei 65 anni. Essi possono essere usati solo con un piano terapeutico approvato dal Comitato Etico e c</w:t>
      </w:r>
      <w:r w:rsidR="00D118E6" w:rsidRPr="00410E63">
        <w:t>on Consenso Informato</w:t>
      </w:r>
      <w:r w:rsidRPr="00410E63">
        <w:t xml:space="preserve">. L’uso dei </w:t>
      </w:r>
      <w:proofErr w:type="spellStart"/>
      <w:r w:rsidRPr="00410E63">
        <w:t>triptani</w:t>
      </w:r>
      <w:proofErr w:type="spellEnd"/>
      <w:r w:rsidRPr="00410E63">
        <w:t xml:space="preserve"> è vietato al di sotto dei 18 anni ad eccezione del </w:t>
      </w:r>
      <w:proofErr w:type="spellStart"/>
      <w:r w:rsidRPr="00410E63">
        <w:t>sumatriptan</w:t>
      </w:r>
      <w:proofErr w:type="spellEnd"/>
      <w:r w:rsidRPr="00410E63">
        <w:t xml:space="preserve"> spray nasale 10 mg, per il quale una normativa ministeriale consente l’utilizzo a</w:t>
      </w:r>
      <w:r w:rsidR="00D118E6" w:rsidRPr="00410E63">
        <w:t>l di sopra dei 12 anni.</w:t>
      </w:r>
    </w:p>
    <w:p w:rsidR="001A6C79" w:rsidRPr="00410E63" w:rsidRDefault="001A6C79" w:rsidP="00410E63">
      <w:pPr>
        <w:spacing w:line="360" w:lineRule="auto"/>
      </w:pPr>
      <w:r w:rsidRPr="00410E63">
        <w:t xml:space="preserve">Eventi avversi sono riportati con percentuali variabili nei trial clinici e negli studi post-marketing; le percentuali più elevate sono state rilevate per il </w:t>
      </w:r>
      <w:proofErr w:type="spellStart"/>
      <w:r w:rsidRPr="00410E63">
        <w:t>sumatriptan</w:t>
      </w:r>
      <w:proofErr w:type="spellEnd"/>
      <w:r w:rsidRPr="00410E63">
        <w:t xml:space="preserve"> nella formulazione sottocute</w:t>
      </w:r>
      <w:r w:rsidR="00D118E6" w:rsidRPr="00410E63">
        <w:t xml:space="preserve">. </w:t>
      </w:r>
      <w:r w:rsidRPr="00410E63">
        <w:t>I più frequenti eventi avversi</w:t>
      </w:r>
      <w:r w:rsidR="00D118E6" w:rsidRPr="00410E63">
        <w:t xml:space="preserve"> </w:t>
      </w:r>
      <w:r w:rsidRPr="00410E63">
        <w:t xml:space="preserve">di lieve entità, di scarsa rilevanza clinica e di breve </w:t>
      </w:r>
      <w:r w:rsidR="00D118E6" w:rsidRPr="00410E63">
        <w:t>durata (in genere 10 – 15 min.) sono:</w:t>
      </w:r>
      <w:r w:rsidRPr="00410E63">
        <w:t xml:space="preserve"> reazioni locali in relazione alla via di somministrazione (via sottocu</w:t>
      </w:r>
      <w:r w:rsidR="00D118E6" w:rsidRPr="00410E63">
        <w:t xml:space="preserve">tanea, rettale, spray nasale), </w:t>
      </w:r>
      <w:r w:rsidRPr="00410E63">
        <w:t xml:space="preserve">sensazione di pressione o costrizione cervicale, toracica o alla gola (4-5% dei pazienti trattati con </w:t>
      </w:r>
      <w:proofErr w:type="spellStart"/>
      <w:r w:rsidRPr="00410E63">
        <w:t>sumatriptan</w:t>
      </w:r>
      <w:proofErr w:type="spellEnd"/>
      <w:r w:rsidRPr="00410E63">
        <w:t xml:space="preserve"> per via sottocutanea e 2-4% dei pazienti trattati con le altre formulazioni</w:t>
      </w:r>
      <w:r w:rsidR="00D118E6" w:rsidRPr="00410E63">
        <w:t xml:space="preserve">, </w:t>
      </w:r>
      <w:r w:rsidRPr="00410E63">
        <w:t xml:space="preserve">vampate di calore </w:t>
      </w:r>
      <w:r w:rsidR="00D118E6" w:rsidRPr="00410E63">
        <w:t xml:space="preserve">al volto e in regione toracica, astenia, mialgie, sonnolenza, </w:t>
      </w:r>
      <w:r w:rsidRPr="00410E63">
        <w:t>sensazione di caldo o di</w:t>
      </w:r>
      <w:r w:rsidR="00D118E6" w:rsidRPr="00410E63">
        <w:t xml:space="preserve"> freddo alla testa e agli arti, </w:t>
      </w:r>
      <w:r w:rsidRPr="00410E63">
        <w:t>parestesie, vertigini, instabilità posturale</w:t>
      </w:r>
      <w:r w:rsidR="00D118E6" w:rsidRPr="00410E63">
        <w:t>.</w:t>
      </w:r>
      <w:r w:rsidRPr="00410E63">
        <w:t xml:space="preserve"> Eventi avversi gravi, rari e senza un sicuro rapporto di causalità con </w:t>
      </w:r>
      <w:r w:rsidR="00D118E6" w:rsidRPr="00410E63">
        <w:t xml:space="preserve">la somministrazione di un </w:t>
      </w:r>
      <w:proofErr w:type="spellStart"/>
      <w:r w:rsidR="00D118E6" w:rsidRPr="00410E63">
        <w:t>trip</w:t>
      </w:r>
      <w:r w:rsidRPr="00410E63">
        <w:t>tano</w:t>
      </w:r>
      <w:proofErr w:type="spellEnd"/>
      <w:r w:rsidRPr="00410E63">
        <w:t xml:space="preserve"> sono: casi di angina instabile, infarto del miocardio, arresto cardiaco e ictus ischemico. Altri rari eventi avversi registrati sono </w:t>
      </w:r>
      <w:proofErr w:type="spellStart"/>
      <w:r w:rsidRPr="00410E63">
        <w:t>acatisia</w:t>
      </w:r>
      <w:proofErr w:type="spellEnd"/>
      <w:r w:rsidRPr="00410E63">
        <w:t>, crisi distoniche, euforia. Raramente sono state segnalate modificazioni dell’ECG</w:t>
      </w:r>
      <w:r w:rsidR="00EE1FD0" w:rsidRPr="00410E63">
        <w:t>.</w:t>
      </w:r>
      <w:r w:rsidRPr="00410E63">
        <w:t xml:space="preserve"> </w:t>
      </w:r>
    </w:p>
    <w:p w:rsidR="00FC17FC" w:rsidRPr="00410E63" w:rsidRDefault="00FC17FC" w:rsidP="00410E63">
      <w:pPr>
        <w:spacing w:line="360" w:lineRule="auto"/>
      </w:pPr>
      <w:r w:rsidRPr="00410E63">
        <w:t xml:space="preserve">Va prestata particolare attenzione alle possibili interazioni farmacologiche, in </w:t>
      </w:r>
      <w:proofErr w:type="spellStart"/>
      <w:r w:rsidRPr="00410E63">
        <w:t>special</w:t>
      </w:r>
      <w:proofErr w:type="spellEnd"/>
      <w:r w:rsidRPr="00410E63">
        <w:t xml:space="preserve"> modo con:</w:t>
      </w:r>
    </w:p>
    <w:p w:rsidR="00FC17FC" w:rsidRPr="00410E63" w:rsidRDefault="001A6C79" w:rsidP="00410E63">
      <w:pPr>
        <w:pStyle w:val="Paragrafoelenco"/>
        <w:numPr>
          <w:ilvl w:val="0"/>
          <w:numId w:val="1"/>
        </w:numPr>
        <w:spacing w:line="360" w:lineRule="auto"/>
      </w:pPr>
      <w:r w:rsidRPr="00410E63">
        <w:t>Derivati dell’</w:t>
      </w:r>
      <w:proofErr w:type="spellStart"/>
      <w:r w:rsidRPr="00410E63">
        <w:t>ergot</w:t>
      </w:r>
      <w:proofErr w:type="spellEnd"/>
      <w:r w:rsidRPr="00410E63">
        <w:t xml:space="preserve">:si consiglia di attendere almeno 24 ore dall’assunzione di </w:t>
      </w:r>
      <w:proofErr w:type="spellStart"/>
      <w:r w:rsidRPr="00410E63">
        <w:t>ergotaminici</w:t>
      </w:r>
      <w:proofErr w:type="spellEnd"/>
      <w:r w:rsidRPr="00410E63">
        <w:t xml:space="preserve"> prima di assumere un </w:t>
      </w:r>
      <w:proofErr w:type="spellStart"/>
      <w:r w:rsidRPr="00410E63">
        <w:t>triptano</w:t>
      </w:r>
      <w:proofErr w:type="spellEnd"/>
      <w:r w:rsidRPr="00410E63">
        <w:t xml:space="preserve">.Nel caso di assunzione di un </w:t>
      </w:r>
      <w:proofErr w:type="spellStart"/>
      <w:r w:rsidRPr="00410E63">
        <w:t>triptano</w:t>
      </w:r>
      <w:proofErr w:type="spellEnd"/>
      <w:r w:rsidRPr="00410E63">
        <w:t xml:space="preserve"> è necessario invece attendere almeno 6 ore per l’assunzione </w:t>
      </w:r>
      <w:r w:rsidR="00FC17FC" w:rsidRPr="00410E63">
        <w:t xml:space="preserve">di un farmaco </w:t>
      </w:r>
      <w:proofErr w:type="spellStart"/>
      <w:r w:rsidR="00FC17FC" w:rsidRPr="00410E63">
        <w:t>ergotaminico</w:t>
      </w:r>
      <w:proofErr w:type="spellEnd"/>
      <w:r w:rsidRPr="00410E63">
        <w:t>.</w:t>
      </w:r>
    </w:p>
    <w:p w:rsidR="00FC17FC" w:rsidRPr="00410E63" w:rsidRDefault="001A6C79" w:rsidP="00410E63">
      <w:pPr>
        <w:pStyle w:val="Paragrafoelenco"/>
        <w:numPr>
          <w:ilvl w:val="0"/>
          <w:numId w:val="1"/>
        </w:numPr>
        <w:spacing w:line="360" w:lineRule="auto"/>
      </w:pPr>
      <w:r w:rsidRPr="00410E63">
        <w:t>Antid</w:t>
      </w:r>
      <w:r w:rsidR="00FC17FC" w:rsidRPr="00410E63">
        <w:t>epressivi della classe degli SSR</w:t>
      </w:r>
      <w:r w:rsidRPr="00410E63">
        <w:t>I: è stata osservata la possibi</w:t>
      </w:r>
      <w:r w:rsidR="00FC17FC" w:rsidRPr="00410E63">
        <w:t xml:space="preserve">le comparsa di una sindrome </w:t>
      </w:r>
      <w:proofErr w:type="spellStart"/>
      <w:r w:rsidR="00FC17FC" w:rsidRPr="00410E63">
        <w:t>se</w:t>
      </w:r>
      <w:r w:rsidRPr="00410E63">
        <w:t>rotoninergica</w:t>
      </w:r>
      <w:proofErr w:type="spellEnd"/>
      <w:r w:rsidRPr="00410E63">
        <w:t xml:space="preserve"> caratterizzata da incoordinazione motoria, astenia ma</w:t>
      </w:r>
      <w:r w:rsidR="00FC17FC" w:rsidRPr="00410E63">
        <w:t xml:space="preserve">rcata e </w:t>
      </w:r>
      <w:proofErr w:type="spellStart"/>
      <w:r w:rsidR="00FC17FC" w:rsidRPr="00410E63">
        <w:t>iperreflessia</w:t>
      </w:r>
      <w:proofErr w:type="spellEnd"/>
      <w:r w:rsidRPr="00410E63">
        <w:t>.</w:t>
      </w:r>
    </w:p>
    <w:p w:rsidR="00FC17FC" w:rsidRPr="00410E63" w:rsidRDefault="001A6C79" w:rsidP="00410E63">
      <w:pPr>
        <w:pStyle w:val="Paragrafoelenco"/>
        <w:numPr>
          <w:ilvl w:val="0"/>
          <w:numId w:val="1"/>
        </w:numPr>
        <w:spacing w:line="360" w:lineRule="auto"/>
      </w:pPr>
      <w:r w:rsidRPr="00410E63">
        <w:t>Inibitori delle MAO-A:dovrebbero essere sospesi almeno due setti</w:t>
      </w:r>
      <w:r w:rsidR="00FC17FC" w:rsidRPr="00410E63">
        <w:t>mane prima dell’inizio dell’as</w:t>
      </w:r>
      <w:r w:rsidRPr="00410E63">
        <w:t>s</w:t>
      </w:r>
      <w:r w:rsidR="00FC17FC" w:rsidRPr="00410E63">
        <w:t xml:space="preserve">unzione di un </w:t>
      </w:r>
      <w:proofErr w:type="spellStart"/>
      <w:r w:rsidR="00FC17FC" w:rsidRPr="00410E63">
        <w:t>triptano</w:t>
      </w:r>
      <w:proofErr w:type="spellEnd"/>
      <w:r w:rsidRPr="00410E63">
        <w:t>.</w:t>
      </w:r>
    </w:p>
    <w:p w:rsidR="00FC17FC" w:rsidRPr="00410E63" w:rsidRDefault="001A6C79" w:rsidP="00410E63">
      <w:pPr>
        <w:pStyle w:val="Paragrafoelenco"/>
        <w:numPr>
          <w:ilvl w:val="0"/>
          <w:numId w:val="1"/>
        </w:numPr>
        <w:spacing w:line="360" w:lineRule="auto"/>
      </w:pPr>
      <w:proofErr w:type="spellStart"/>
      <w:r w:rsidRPr="00410E63">
        <w:t>Propranololo</w:t>
      </w:r>
      <w:proofErr w:type="spellEnd"/>
      <w:r w:rsidRPr="00410E63">
        <w:t xml:space="preserve">:aumenta la concentrazione plasmatica di </w:t>
      </w:r>
      <w:proofErr w:type="spellStart"/>
      <w:r w:rsidRPr="00410E63">
        <w:t>rizatriptan</w:t>
      </w:r>
      <w:proofErr w:type="spellEnd"/>
      <w:r w:rsidRPr="00410E63">
        <w:t>.</w:t>
      </w:r>
      <w:r w:rsidR="00FC17FC" w:rsidRPr="00410E63">
        <w:t xml:space="preserve"> Nel caso di contemporaneo uti</w:t>
      </w:r>
      <w:r w:rsidRPr="00410E63">
        <w:t xml:space="preserve">lizzo di </w:t>
      </w:r>
      <w:proofErr w:type="spellStart"/>
      <w:r w:rsidRPr="00410E63">
        <w:t>propranololo</w:t>
      </w:r>
      <w:proofErr w:type="spellEnd"/>
      <w:r w:rsidRPr="00410E63">
        <w:t xml:space="preserve">, si consiglia la somministrazione di 5 mg di </w:t>
      </w:r>
      <w:proofErr w:type="spellStart"/>
      <w:r w:rsidRPr="00410E63">
        <w:t>rizatriptan</w:t>
      </w:r>
      <w:proofErr w:type="spellEnd"/>
      <w:r w:rsidRPr="00410E63">
        <w:t xml:space="preserve"> come dose di attacco </w:t>
      </w:r>
      <w:r w:rsidRPr="00410E63">
        <w:lastRenderedPageBreak/>
        <w:t xml:space="preserve">e 10 mg come dose massima nelle 24 ore. </w:t>
      </w:r>
      <w:proofErr w:type="spellStart"/>
      <w:r w:rsidRPr="00410E63">
        <w:t>Rizatriptan</w:t>
      </w:r>
      <w:proofErr w:type="spellEnd"/>
      <w:r w:rsidRPr="00410E63">
        <w:t xml:space="preserve"> deve essere as</w:t>
      </w:r>
      <w:r w:rsidR="00FC17FC" w:rsidRPr="00410E63">
        <w:t>sunto almeno due ore dopo l’as</w:t>
      </w:r>
      <w:r w:rsidRPr="00410E63">
        <w:t xml:space="preserve">sunzione del </w:t>
      </w:r>
      <w:proofErr w:type="spellStart"/>
      <w:r w:rsidR="00FC17FC" w:rsidRPr="00410E63">
        <w:t>propranololo</w:t>
      </w:r>
      <w:proofErr w:type="spellEnd"/>
      <w:r w:rsidRPr="00410E63">
        <w:t>.</w:t>
      </w:r>
    </w:p>
    <w:p w:rsidR="00FC17FC" w:rsidRPr="00410E63" w:rsidRDefault="001A6C79" w:rsidP="00410E63">
      <w:pPr>
        <w:pStyle w:val="Paragrafoelenco"/>
        <w:numPr>
          <w:ilvl w:val="0"/>
          <w:numId w:val="1"/>
        </w:numPr>
        <w:spacing w:line="360" w:lineRule="auto"/>
        <w:rPr>
          <w:b/>
        </w:rPr>
      </w:pPr>
      <w:r w:rsidRPr="00410E63">
        <w:t>Farmaci che utilizzano la</w:t>
      </w:r>
      <w:r w:rsidR="00FC17FC" w:rsidRPr="00410E63">
        <w:t xml:space="preserve"> </w:t>
      </w:r>
      <w:r w:rsidRPr="00410E63">
        <w:t xml:space="preserve">via metabolica del CYP 450. Per </w:t>
      </w:r>
      <w:proofErr w:type="spellStart"/>
      <w:r w:rsidRPr="00410E63">
        <w:t>eletriptan</w:t>
      </w:r>
      <w:proofErr w:type="spellEnd"/>
      <w:r w:rsidRPr="00410E63">
        <w:t xml:space="preserve">, </w:t>
      </w:r>
      <w:proofErr w:type="spellStart"/>
      <w:r w:rsidRPr="00410E63">
        <w:t>rizatriptan</w:t>
      </w:r>
      <w:proofErr w:type="spellEnd"/>
      <w:r w:rsidRPr="00410E63">
        <w:t xml:space="preserve"> e </w:t>
      </w:r>
      <w:proofErr w:type="spellStart"/>
      <w:r w:rsidRPr="00410E63">
        <w:t>zolmitriptan</w:t>
      </w:r>
      <w:proofErr w:type="spellEnd"/>
      <w:r w:rsidRPr="00410E63">
        <w:t xml:space="preserve"> è stata suggerita la possibile interazione con farmaci che utilizzano tale via come anticoncezionali orali e antimicotici</w:t>
      </w:r>
      <w:r w:rsidR="0097589F" w:rsidRPr="00410E63">
        <w:t>.</w:t>
      </w:r>
    </w:p>
    <w:p w:rsidR="004C64C8" w:rsidRPr="00410E63" w:rsidRDefault="004C64C8" w:rsidP="00410E63">
      <w:pPr>
        <w:pStyle w:val="Paragrafoelenco"/>
        <w:spacing w:line="360" w:lineRule="auto"/>
        <w:ind w:left="0"/>
        <w:rPr>
          <w:b/>
          <w:sz w:val="24"/>
          <w:szCs w:val="24"/>
        </w:rPr>
      </w:pPr>
      <w:r w:rsidRPr="00410E63">
        <w:rPr>
          <w:b/>
          <w:sz w:val="24"/>
          <w:szCs w:val="24"/>
        </w:rPr>
        <w:t>DERIVATI DELL’ERGOT</w:t>
      </w:r>
    </w:p>
    <w:p w:rsidR="004C64C8" w:rsidRPr="00410E63" w:rsidRDefault="004C64C8" w:rsidP="00410E63">
      <w:pPr>
        <w:spacing w:line="360" w:lineRule="auto"/>
      </w:pPr>
      <w:r w:rsidRPr="00410E63">
        <w:t xml:space="preserve">Fino all’avvento dei </w:t>
      </w:r>
      <w:proofErr w:type="spellStart"/>
      <w:r w:rsidRPr="00410E63">
        <w:t>triptani</w:t>
      </w:r>
      <w:proofErr w:type="spellEnd"/>
      <w:r w:rsidRPr="00410E63">
        <w:t xml:space="preserve"> gli </w:t>
      </w:r>
      <w:proofErr w:type="spellStart"/>
      <w:r w:rsidRPr="00410E63">
        <w:t>ergotaminici</w:t>
      </w:r>
      <w:proofErr w:type="spellEnd"/>
      <w:r w:rsidRPr="00410E63">
        <w:t xml:space="preserve"> e, in particolare, la </w:t>
      </w:r>
      <w:proofErr w:type="spellStart"/>
      <w:r w:rsidRPr="00410E63">
        <w:t>diidroergotamina</w:t>
      </w:r>
      <w:proofErr w:type="spellEnd"/>
      <w:r w:rsidRPr="00410E63">
        <w:t xml:space="preserve"> per via parenterale (ora non più disponibile in Italia), sono stati il trattamento di elezione dell’att</w:t>
      </w:r>
      <w:r w:rsidR="00F52EF6" w:rsidRPr="00410E63">
        <w:t>acco emicranico</w:t>
      </w:r>
      <w:r w:rsidRPr="00410E63">
        <w:t xml:space="preserve">. Attualmente l’uso degli </w:t>
      </w:r>
      <w:proofErr w:type="spellStart"/>
      <w:r w:rsidRPr="00410E63">
        <w:t>ergotaminici</w:t>
      </w:r>
      <w:proofErr w:type="spellEnd"/>
      <w:r w:rsidRPr="00410E63">
        <w:t xml:space="preserve"> è indicato per il trattamento di a</w:t>
      </w:r>
      <w:r w:rsidR="00F52EF6" w:rsidRPr="00410E63">
        <w:t>ttacchi invalidanti che non ri</w:t>
      </w:r>
      <w:r w:rsidRPr="00410E63">
        <w:t>spondono a altri farmaci sintomatici e a bassa frequenza (1-2 mese) per il potenziale rischio di abuso</w:t>
      </w:r>
      <w:r w:rsidR="009459C5" w:rsidRPr="00410E63">
        <w:t>.</w:t>
      </w:r>
    </w:p>
    <w:p w:rsidR="004C64C8" w:rsidRPr="00410E63" w:rsidRDefault="004C64C8" w:rsidP="00410E63">
      <w:pPr>
        <w:spacing w:line="360" w:lineRule="auto"/>
      </w:pPr>
      <w:r w:rsidRPr="00410E63">
        <w:t>L’</w:t>
      </w:r>
      <w:proofErr w:type="spellStart"/>
      <w:r w:rsidRPr="00410E63">
        <w:t>ergotamina</w:t>
      </w:r>
      <w:proofErr w:type="spellEnd"/>
      <w:r w:rsidRPr="00410E63">
        <w:t xml:space="preserve"> tartrato in associazione o meno con la caffeina e la </w:t>
      </w:r>
      <w:proofErr w:type="spellStart"/>
      <w:r w:rsidRPr="00410E63">
        <w:t>diidro</w:t>
      </w:r>
      <w:r w:rsidR="009459C5" w:rsidRPr="00410E63">
        <w:t>ergotamina</w:t>
      </w:r>
      <w:proofErr w:type="spellEnd"/>
      <w:r w:rsidR="009459C5" w:rsidRPr="00410E63">
        <w:t xml:space="preserve"> si sono rivelate si</w:t>
      </w:r>
      <w:r w:rsidRPr="00410E63">
        <w:t>gnificativamente più efficaci versus placebo o principio attivo, nel ridurre il dolore in corso di attacco emicranico.</w:t>
      </w:r>
    </w:p>
    <w:p w:rsidR="004C64C8" w:rsidRPr="00410E63" w:rsidRDefault="004C64C8" w:rsidP="00410E63">
      <w:pPr>
        <w:spacing w:line="360" w:lineRule="auto"/>
      </w:pPr>
      <w:r w:rsidRPr="00410E63">
        <w:t xml:space="preserve">Possono, a causa della loro interazione con i recettori </w:t>
      </w:r>
      <w:proofErr w:type="spellStart"/>
      <w:r w:rsidRPr="00410E63">
        <w:t>dopaminergici</w:t>
      </w:r>
      <w:proofErr w:type="spellEnd"/>
      <w:r w:rsidRPr="00410E63">
        <w:t>, accentuare la nausea e il vomito associati all’attacco e andrebbero quindi somministrati in associazione a un antiemetico.</w:t>
      </w:r>
    </w:p>
    <w:p w:rsidR="004C64C8" w:rsidRPr="00410E63" w:rsidRDefault="004C64C8" w:rsidP="00410E63">
      <w:pPr>
        <w:spacing w:line="360" w:lineRule="auto"/>
        <w:rPr>
          <w:sz w:val="24"/>
          <w:szCs w:val="24"/>
        </w:rPr>
      </w:pPr>
      <w:r w:rsidRPr="00410E63">
        <w:t xml:space="preserve">I principali eventi avversi conseguenti all’uso di </w:t>
      </w:r>
      <w:proofErr w:type="spellStart"/>
      <w:r w:rsidRPr="00410E63">
        <w:t>ergotamina</w:t>
      </w:r>
      <w:proofErr w:type="spellEnd"/>
      <w:r w:rsidRPr="00410E63">
        <w:t xml:space="preserve"> tartrato sono nausea e vomito. Sono stati registrati anche dolori addominali, diarrea, crampi muscolari e ra</w:t>
      </w:r>
      <w:r w:rsidR="009459C5" w:rsidRPr="00410E63">
        <w:t>ramente parestesie distali</w:t>
      </w:r>
      <w:r w:rsidRPr="00410E63">
        <w:rPr>
          <w:sz w:val="24"/>
          <w:szCs w:val="24"/>
        </w:rPr>
        <w:t xml:space="preserve">. </w:t>
      </w:r>
      <w:r w:rsidRPr="00410E63">
        <w:t xml:space="preserve">La somministrazione cronica di </w:t>
      </w:r>
      <w:proofErr w:type="spellStart"/>
      <w:r w:rsidRPr="00410E63">
        <w:t>ergotaminici</w:t>
      </w:r>
      <w:proofErr w:type="spellEnd"/>
      <w:r w:rsidRPr="00410E63">
        <w:t xml:space="preserve"> può indurre ergotismo. In tal caso possono manifestarsi acrocianosi, necrosi ulcerose distali, neuropatie ischemiche, fibrosi per</w:t>
      </w:r>
      <w:r w:rsidR="00410E63" w:rsidRPr="00410E63">
        <w:t xml:space="preserve">icardica, pleurica o </w:t>
      </w:r>
      <w:proofErr w:type="spellStart"/>
      <w:r w:rsidR="00410E63" w:rsidRPr="00410E63">
        <w:t>retroperi</w:t>
      </w:r>
      <w:r w:rsidRPr="00410E63">
        <w:t>toneale</w:t>
      </w:r>
      <w:proofErr w:type="spellEnd"/>
    </w:p>
    <w:p w:rsidR="004C64C8" w:rsidRPr="00410E63" w:rsidRDefault="004C64C8" w:rsidP="00410E63">
      <w:pPr>
        <w:spacing w:line="360" w:lineRule="auto"/>
        <w:rPr>
          <w:sz w:val="24"/>
          <w:szCs w:val="24"/>
        </w:rPr>
      </w:pPr>
      <w:r w:rsidRPr="00410E63">
        <w:rPr>
          <w:b/>
          <w:sz w:val="24"/>
          <w:szCs w:val="24"/>
        </w:rPr>
        <w:t>FARMACI ANTIEMETICI</w:t>
      </w:r>
      <w:r w:rsidRPr="00410E63">
        <w:rPr>
          <w:sz w:val="24"/>
          <w:szCs w:val="24"/>
        </w:rPr>
        <w:t xml:space="preserve"> </w:t>
      </w:r>
    </w:p>
    <w:p w:rsidR="004C64C8" w:rsidRPr="00410E63" w:rsidRDefault="004C64C8" w:rsidP="00410E63">
      <w:pPr>
        <w:spacing w:line="360" w:lineRule="auto"/>
      </w:pPr>
      <w:r w:rsidRPr="00410E63">
        <w:t>Sono indicati come adiuvanti della terapia antiemicranica dell’attacco, quando siano prevalenti la nausea e il vomito</w:t>
      </w:r>
      <w:r w:rsidR="00F52EF6" w:rsidRPr="00410E63">
        <w:t>.</w:t>
      </w:r>
    </w:p>
    <w:p w:rsidR="003171AC" w:rsidRPr="00410E63" w:rsidRDefault="004C64C8" w:rsidP="00410E63">
      <w:pPr>
        <w:spacing w:line="360" w:lineRule="auto"/>
      </w:pPr>
      <w:r w:rsidRPr="00410E63">
        <w:t xml:space="preserve">Per il </w:t>
      </w:r>
      <w:proofErr w:type="spellStart"/>
      <w:r w:rsidRPr="00410E63">
        <w:t>domperidone</w:t>
      </w:r>
      <w:proofErr w:type="spellEnd"/>
      <w:r w:rsidRPr="00410E63">
        <w:t xml:space="preserve"> per via orale, vi sono dati, non recenti, condotti su un nu</w:t>
      </w:r>
      <w:r w:rsidR="003171AC" w:rsidRPr="00410E63">
        <w:t>mero limitato di pa</w:t>
      </w:r>
      <w:r w:rsidRPr="00410E63">
        <w:t>zienti a favore di una possibile efficacia nel prevenire e nel ridurre l’intensità degli attacchi</w:t>
      </w:r>
      <w:r w:rsidR="003171AC" w:rsidRPr="00410E63">
        <w:t>.</w:t>
      </w:r>
    </w:p>
    <w:p w:rsidR="00315DB8" w:rsidRPr="00410E63" w:rsidRDefault="004C64C8" w:rsidP="00410E63">
      <w:pPr>
        <w:spacing w:line="360" w:lineRule="auto"/>
      </w:pPr>
      <w:r w:rsidRPr="00410E63">
        <w:t xml:space="preserve">La </w:t>
      </w:r>
      <w:proofErr w:type="spellStart"/>
      <w:r w:rsidRPr="00410E63">
        <w:t>metoclopramide</w:t>
      </w:r>
      <w:proofErr w:type="spellEnd"/>
      <w:r w:rsidRPr="00410E63">
        <w:t xml:space="preserve"> e la </w:t>
      </w:r>
      <w:proofErr w:type="spellStart"/>
      <w:r w:rsidRPr="00410E63">
        <w:t>proclorperazina</w:t>
      </w:r>
      <w:proofErr w:type="spellEnd"/>
      <w:r w:rsidRPr="00410E63">
        <w:t xml:space="preserve"> per via rettale hanno dimostrato</w:t>
      </w:r>
      <w:r w:rsidR="003171AC" w:rsidRPr="00410E63">
        <w:t xml:space="preserve"> anche un blando effetto an</w:t>
      </w:r>
      <w:r w:rsidRPr="00410E63">
        <w:t>tiemicranico, oltre al chiaro effetto antiemetico.</w:t>
      </w:r>
      <w:r w:rsidR="00F52EF6" w:rsidRPr="00410E63">
        <w:t xml:space="preserve"> </w:t>
      </w:r>
      <w:r w:rsidRPr="00410E63">
        <w:t xml:space="preserve">Un modesto effetto antiemicranico è stato evidenziato anche per la </w:t>
      </w:r>
      <w:proofErr w:type="spellStart"/>
      <w:r w:rsidRPr="00410E63">
        <w:t>metoclopramide</w:t>
      </w:r>
      <w:proofErr w:type="spellEnd"/>
      <w:r w:rsidRPr="00410E63">
        <w:t xml:space="preserve"> pe</w:t>
      </w:r>
      <w:r w:rsidR="00315DB8" w:rsidRPr="00410E63">
        <w:t>r via IM</w:t>
      </w:r>
      <w:r w:rsidR="00F52EF6" w:rsidRPr="00410E63">
        <w:t xml:space="preserve"> </w:t>
      </w:r>
      <w:r w:rsidR="00315DB8" w:rsidRPr="00410E63">
        <w:t xml:space="preserve">o </w:t>
      </w:r>
      <w:proofErr w:type="spellStart"/>
      <w:r w:rsidR="00315DB8" w:rsidRPr="00410E63">
        <w:t>EV</w:t>
      </w:r>
      <w:proofErr w:type="spellEnd"/>
      <w:r w:rsidR="00315DB8" w:rsidRPr="00410E63">
        <w:t xml:space="preserve">. </w:t>
      </w:r>
      <w:r w:rsidRPr="00410E63">
        <w:t xml:space="preserve">Vi sono dati che supportano l’efficacia antiemicranica della </w:t>
      </w:r>
      <w:proofErr w:type="spellStart"/>
      <w:r w:rsidRPr="00410E63">
        <w:t>proclorperazina</w:t>
      </w:r>
      <w:proofErr w:type="spellEnd"/>
      <w:r w:rsidRPr="00410E63">
        <w:t xml:space="preserve"> e </w:t>
      </w:r>
      <w:proofErr w:type="spellStart"/>
      <w:r w:rsidRPr="00410E63">
        <w:t>clorpromazina</w:t>
      </w:r>
      <w:proofErr w:type="spellEnd"/>
      <w:r w:rsidRPr="00410E63">
        <w:t xml:space="preserve"> per via </w:t>
      </w:r>
      <w:r w:rsidR="00F52EF6" w:rsidRPr="00410E63">
        <w:t xml:space="preserve">IM o EV </w:t>
      </w:r>
      <w:r w:rsidRPr="00410E63">
        <w:t>soprattutto in studi che ne hanno riguardato l’utilizzo per il trattamento del</w:t>
      </w:r>
      <w:r w:rsidR="00315DB8" w:rsidRPr="00410E63">
        <w:t>l’emicrania in Pronto Soccorso.</w:t>
      </w:r>
    </w:p>
    <w:p w:rsidR="001267E2" w:rsidRPr="00410E63" w:rsidRDefault="001267E2" w:rsidP="00410E63">
      <w:pPr>
        <w:spacing w:line="360" w:lineRule="auto"/>
      </w:pPr>
      <w:r w:rsidRPr="00410E63">
        <w:t xml:space="preserve">Le formulazioni di antiemetici per via orale e rettale sono da considerarsi adiuvanti della terapia sin- </w:t>
      </w:r>
      <w:proofErr w:type="spellStart"/>
      <w:r w:rsidRPr="00410E63">
        <w:t>tomatica</w:t>
      </w:r>
      <w:proofErr w:type="spellEnd"/>
      <w:r w:rsidRPr="00410E63">
        <w:t xml:space="preserve"> dell’</w:t>
      </w:r>
      <w:proofErr w:type="spellStart"/>
      <w:r w:rsidRPr="00410E63">
        <w:t>emicrani</w:t>
      </w:r>
      <w:proofErr w:type="spellEnd"/>
      <w:r w:rsidRPr="00410E63">
        <w:t xml:space="preserve">. Le formulazioni </w:t>
      </w:r>
      <w:proofErr w:type="spellStart"/>
      <w:r w:rsidRPr="00410E63">
        <w:t>i.m.</w:t>
      </w:r>
      <w:proofErr w:type="spellEnd"/>
      <w:r w:rsidRPr="00410E63">
        <w:t xml:space="preserve"> e soprattutto </w:t>
      </w:r>
      <w:proofErr w:type="spellStart"/>
      <w:r w:rsidRPr="00410E63">
        <w:t>e.v.</w:t>
      </w:r>
      <w:proofErr w:type="spellEnd"/>
      <w:r w:rsidRPr="00410E63">
        <w:t xml:space="preserve"> possono essere utilizzate per il trattamento di </w:t>
      </w:r>
      <w:r w:rsidRPr="00410E63">
        <w:lastRenderedPageBreak/>
        <w:t xml:space="preserve">attacchi di intensità grave, in cui la nausea e il vomito siano prevalenti o quando siano controindicati altri farmaci sintomatici o sia necessaria una </w:t>
      </w:r>
      <w:proofErr w:type="spellStart"/>
      <w:r w:rsidRPr="00410E63">
        <w:t>sedazione</w:t>
      </w:r>
      <w:proofErr w:type="spellEnd"/>
      <w:r w:rsidRPr="00410E63">
        <w:t xml:space="preserve">. Possono essere inoltre considerate in </w:t>
      </w:r>
      <w:proofErr w:type="spellStart"/>
      <w:r w:rsidRPr="00410E63">
        <w:t>monoterapia</w:t>
      </w:r>
      <w:proofErr w:type="spellEnd"/>
      <w:r w:rsidRPr="00410E63">
        <w:t xml:space="preserve"> per il trattamento del dolore cefalico soprattutto in determinati ambiti clinici (Dipartimenti di Emergenza, Pronto Soccorso).</w:t>
      </w:r>
    </w:p>
    <w:p w:rsidR="00315DB8" w:rsidRPr="00410E63" w:rsidRDefault="004C64C8" w:rsidP="00410E63">
      <w:pPr>
        <w:spacing w:line="360" w:lineRule="auto"/>
      </w:pPr>
      <w:r w:rsidRPr="00410E63">
        <w:t xml:space="preserve">La </w:t>
      </w:r>
      <w:proofErr w:type="spellStart"/>
      <w:r w:rsidRPr="00410E63">
        <w:t>metoclopramide</w:t>
      </w:r>
      <w:proofErr w:type="spellEnd"/>
      <w:r w:rsidRPr="00410E63">
        <w:t xml:space="preserve"> è controindicata nei pazienti affetti da </w:t>
      </w:r>
      <w:proofErr w:type="spellStart"/>
      <w:r w:rsidRPr="00410E63">
        <w:t>feocromocitoma</w:t>
      </w:r>
      <w:proofErr w:type="spellEnd"/>
      <w:r w:rsidRPr="00410E63">
        <w:t>, epilessia e nei pazienti in trattamento con farmaci potenzialmente in grado di determinare reazioni extrapiramidali (anti- MAO, neurolettici co</w:t>
      </w:r>
      <w:r w:rsidR="00315DB8" w:rsidRPr="00410E63">
        <w:t xml:space="preserve">me </w:t>
      </w:r>
      <w:proofErr w:type="spellStart"/>
      <w:r w:rsidR="00315DB8" w:rsidRPr="00410E63">
        <w:t>fenotiazine</w:t>
      </w:r>
      <w:proofErr w:type="spellEnd"/>
      <w:r w:rsidR="00315DB8" w:rsidRPr="00410E63">
        <w:t xml:space="preserve"> e </w:t>
      </w:r>
      <w:proofErr w:type="spellStart"/>
      <w:r w:rsidR="00315DB8" w:rsidRPr="00410E63">
        <w:t>butirrofenoni</w:t>
      </w:r>
      <w:proofErr w:type="spellEnd"/>
      <w:r w:rsidR="00315DB8" w:rsidRPr="00410E63">
        <w:t xml:space="preserve">). </w:t>
      </w:r>
      <w:proofErr w:type="spellStart"/>
      <w:r w:rsidRPr="00410E63">
        <w:t>Metoclopramide</w:t>
      </w:r>
      <w:proofErr w:type="spellEnd"/>
      <w:r w:rsidRPr="00410E63">
        <w:t xml:space="preserve">, </w:t>
      </w:r>
      <w:proofErr w:type="spellStart"/>
      <w:r w:rsidRPr="00410E63">
        <w:t>clorpromazina</w:t>
      </w:r>
      <w:proofErr w:type="spellEnd"/>
      <w:r w:rsidRPr="00410E63">
        <w:t xml:space="preserve"> e </w:t>
      </w:r>
      <w:proofErr w:type="spellStart"/>
      <w:r w:rsidRPr="00410E63">
        <w:t>proclorperazina</w:t>
      </w:r>
      <w:proofErr w:type="spellEnd"/>
      <w:r w:rsidRPr="00410E63">
        <w:t xml:space="preserve"> sono sconsigliati in pazient</w:t>
      </w:r>
      <w:r w:rsidR="00315DB8" w:rsidRPr="00410E63">
        <w:t xml:space="preserve">i con </w:t>
      </w:r>
      <w:proofErr w:type="spellStart"/>
      <w:r w:rsidR="00315DB8" w:rsidRPr="00410E63">
        <w:t>prolattinoma</w:t>
      </w:r>
      <w:proofErr w:type="spellEnd"/>
      <w:r w:rsidR="00315DB8" w:rsidRPr="00410E63">
        <w:t>.</w:t>
      </w:r>
    </w:p>
    <w:p w:rsidR="004C64C8" w:rsidRPr="00410E63" w:rsidRDefault="004C64C8" w:rsidP="00410E63">
      <w:pPr>
        <w:spacing w:line="360" w:lineRule="auto"/>
      </w:pPr>
      <w:r w:rsidRPr="00410E63">
        <w:t xml:space="preserve">La comparsa di eventi avversi in seguito a somministrazione di </w:t>
      </w:r>
      <w:proofErr w:type="spellStart"/>
      <w:r w:rsidRPr="00410E63">
        <w:t>metoc</w:t>
      </w:r>
      <w:r w:rsidR="00F52EF6" w:rsidRPr="00410E63">
        <w:t>lopramide</w:t>
      </w:r>
      <w:proofErr w:type="spellEnd"/>
      <w:r w:rsidR="00F52EF6" w:rsidRPr="00410E63">
        <w:t xml:space="preserve"> sono rari e sono rap</w:t>
      </w:r>
      <w:r w:rsidRPr="00410E63">
        <w:t xml:space="preserve">presentati da sintomi a carico del sistema extrapiramidale (in particolare distonia, discinesia tardiva e </w:t>
      </w:r>
      <w:proofErr w:type="spellStart"/>
      <w:r w:rsidRPr="00410E63">
        <w:t>acatisia</w:t>
      </w:r>
      <w:proofErr w:type="spellEnd"/>
      <w:r w:rsidRPr="00410E63">
        <w:t xml:space="preserve">). Tale evenienza non si verifica per il </w:t>
      </w:r>
      <w:proofErr w:type="spellStart"/>
      <w:r w:rsidRPr="00410E63">
        <w:t>domperidone</w:t>
      </w:r>
      <w:proofErr w:type="spellEnd"/>
      <w:r w:rsidR="00315DB8" w:rsidRPr="00410E63">
        <w:t xml:space="preserve"> </w:t>
      </w:r>
      <w:r w:rsidRPr="00410E63">
        <w:t>che non attraversa</w:t>
      </w:r>
      <w:r w:rsidR="00315DB8" w:rsidRPr="00410E63">
        <w:t xml:space="preserve">la barriera </w:t>
      </w:r>
      <w:proofErr w:type="spellStart"/>
      <w:r w:rsidR="00315DB8" w:rsidRPr="00410E63">
        <w:t>ematoencefalica</w:t>
      </w:r>
      <w:proofErr w:type="spellEnd"/>
      <w:r w:rsidR="00315DB8" w:rsidRPr="00410E63">
        <w:t>.</w:t>
      </w:r>
    </w:p>
    <w:p w:rsidR="004C64C8" w:rsidRPr="00410E63" w:rsidRDefault="004C64C8" w:rsidP="00410E63">
      <w:pPr>
        <w:spacing w:line="360" w:lineRule="auto"/>
        <w:rPr>
          <w:sz w:val="24"/>
          <w:szCs w:val="24"/>
        </w:rPr>
      </w:pPr>
      <w:r w:rsidRPr="00410E63">
        <w:t xml:space="preserve">I principali eventi avversi dopo somministrazione di </w:t>
      </w:r>
      <w:proofErr w:type="spellStart"/>
      <w:r w:rsidRPr="00410E63">
        <w:t>clorpromazina</w:t>
      </w:r>
      <w:proofErr w:type="spellEnd"/>
      <w:r w:rsidRPr="00410E63">
        <w:t xml:space="preserve"> e </w:t>
      </w:r>
      <w:proofErr w:type="spellStart"/>
      <w:r w:rsidRPr="00410E63">
        <w:t>proclorperazina</w:t>
      </w:r>
      <w:proofErr w:type="spellEnd"/>
      <w:r w:rsidRPr="00410E63">
        <w:t xml:space="preserve"> sono sonnolenza e </w:t>
      </w:r>
      <w:proofErr w:type="spellStart"/>
      <w:r w:rsidRPr="00410E63">
        <w:t>sedazione</w:t>
      </w:r>
      <w:proofErr w:type="spellEnd"/>
      <w:r w:rsidRPr="00410E63">
        <w:t>.</w:t>
      </w:r>
      <w:r w:rsidR="009459C5" w:rsidRPr="00410E63">
        <w:t xml:space="preserve"> </w:t>
      </w:r>
      <w:r w:rsidRPr="00410E63">
        <w:t xml:space="preserve">Raramente sono state riscontrate crisi distoniche acute e </w:t>
      </w:r>
      <w:proofErr w:type="spellStart"/>
      <w:r w:rsidR="00315DB8" w:rsidRPr="00410E63">
        <w:t>acatisia</w:t>
      </w:r>
      <w:proofErr w:type="spellEnd"/>
      <w:r w:rsidR="00315DB8" w:rsidRPr="00410E63">
        <w:t>.Un evento avverso, ri</w:t>
      </w:r>
      <w:r w:rsidRPr="00410E63">
        <w:t xml:space="preserve">scontrato raramente con la </w:t>
      </w:r>
      <w:proofErr w:type="spellStart"/>
      <w:r w:rsidRPr="00410E63">
        <w:t>clorpromazina</w:t>
      </w:r>
      <w:proofErr w:type="spellEnd"/>
      <w:r w:rsidRPr="00410E63">
        <w:t>, è l’ipotensione posturale, in particolare se il farmaco è utilizzato contemporaneamente</w:t>
      </w:r>
      <w:r w:rsidR="00F52EF6" w:rsidRPr="00410E63">
        <w:t xml:space="preserve"> a terapia antiipertensiva. </w:t>
      </w:r>
      <w:r w:rsidRPr="00410E63">
        <w:t xml:space="preserve">La comparsa di eventi avversi dovuti ai </w:t>
      </w:r>
      <w:proofErr w:type="spellStart"/>
      <w:r w:rsidRPr="00410E63">
        <w:t>fenotiazinici</w:t>
      </w:r>
      <w:proofErr w:type="spellEnd"/>
      <w:r w:rsidRPr="00410E63">
        <w:t xml:space="preserve"> viene facilitata dal</w:t>
      </w:r>
      <w:r w:rsidR="00F52EF6" w:rsidRPr="00410E63">
        <w:t xml:space="preserve">l’assunzione di alcol o di </w:t>
      </w:r>
      <w:proofErr w:type="spellStart"/>
      <w:r w:rsidR="00F52EF6" w:rsidRPr="00410E63">
        <w:t>pro</w:t>
      </w:r>
      <w:r w:rsidRPr="00410E63">
        <w:t>pranololo</w:t>
      </w:r>
      <w:proofErr w:type="spellEnd"/>
      <w:r w:rsidRPr="00410E63">
        <w:t xml:space="preserve"> che ne innalza i liv</w:t>
      </w:r>
      <w:r w:rsidR="00F52EF6" w:rsidRPr="00410E63">
        <w:t xml:space="preserve">elli plasmatici. </w:t>
      </w:r>
      <w:r w:rsidRPr="00410E63">
        <w:t xml:space="preserve">La </w:t>
      </w:r>
      <w:proofErr w:type="spellStart"/>
      <w:r w:rsidRPr="00410E63">
        <w:t>metoclopramide</w:t>
      </w:r>
      <w:proofErr w:type="spellEnd"/>
      <w:r w:rsidRPr="00410E63">
        <w:t xml:space="preserve">, la </w:t>
      </w:r>
      <w:proofErr w:type="spellStart"/>
      <w:r w:rsidRPr="00410E63">
        <w:t>proclorperazina</w:t>
      </w:r>
      <w:proofErr w:type="spellEnd"/>
      <w:r w:rsidRPr="00410E63">
        <w:t xml:space="preserve"> e la </w:t>
      </w:r>
      <w:proofErr w:type="spellStart"/>
      <w:r w:rsidRPr="00410E63">
        <w:t>clorpromazina</w:t>
      </w:r>
      <w:proofErr w:type="spellEnd"/>
      <w:r w:rsidRPr="00410E63">
        <w:t xml:space="preserve"> non de</w:t>
      </w:r>
      <w:r w:rsidR="00F52EF6" w:rsidRPr="00410E63">
        <w:t>vono essere assunte contempora</w:t>
      </w:r>
      <w:r w:rsidRPr="00410E63">
        <w:t xml:space="preserve">neamente a farmaci analgesici narcotici, sedativi, ipnotici e tranquillanti </w:t>
      </w:r>
      <w:r w:rsidR="00F52EF6" w:rsidRPr="00410E63">
        <w:t xml:space="preserve">per l’effetto sinergico sul sistema nervoso centrale. </w:t>
      </w:r>
      <w:r w:rsidRPr="00410E63">
        <w:t xml:space="preserve">La </w:t>
      </w:r>
      <w:proofErr w:type="spellStart"/>
      <w:r w:rsidRPr="00410E63">
        <w:t>proclorperazina</w:t>
      </w:r>
      <w:proofErr w:type="spellEnd"/>
      <w:r w:rsidRPr="00410E63">
        <w:t xml:space="preserve"> e la </w:t>
      </w:r>
      <w:proofErr w:type="spellStart"/>
      <w:r w:rsidRPr="00410E63">
        <w:t>clorpromazina</w:t>
      </w:r>
      <w:proofErr w:type="spellEnd"/>
      <w:r w:rsidRPr="00410E63">
        <w:t xml:space="preserve"> possono abbassare la soglia anticonvulsivante. Sono pertanto da usare con cautela nei pazienti epilettici</w:t>
      </w:r>
      <w:r w:rsidR="00F52EF6" w:rsidRPr="00410E63">
        <w:t>.</w:t>
      </w:r>
    </w:p>
    <w:p w:rsidR="003171AC" w:rsidRPr="00410E63" w:rsidRDefault="00F52EF6" w:rsidP="00410E63">
      <w:pPr>
        <w:spacing w:line="360" w:lineRule="auto"/>
        <w:rPr>
          <w:b/>
          <w:sz w:val="24"/>
          <w:szCs w:val="24"/>
        </w:rPr>
      </w:pPr>
      <w:r w:rsidRPr="00410E63">
        <w:rPr>
          <w:b/>
          <w:sz w:val="24"/>
          <w:szCs w:val="24"/>
        </w:rPr>
        <w:t xml:space="preserve">ANALGESICI OPPIOIDI SEMPLICI E </w:t>
      </w:r>
      <w:proofErr w:type="spellStart"/>
      <w:r w:rsidRPr="00410E63">
        <w:rPr>
          <w:b/>
          <w:sz w:val="24"/>
          <w:szCs w:val="24"/>
        </w:rPr>
        <w:t>DI</w:t>
      </w:r>
      <w:proofErr w:type="spellEnd"/>
      <w:r w:rsidRPr="00410E63">
        <w:rPr>
          <w:b/>
          <w:sz w:val="24"/>
          <w:szCs w:val="24"/>
        </w:rPr>
        <w:t xml:space="preserve"> COMBINAZIONE</w:t>
      </w:r>
    </w:p>
    <w:p w:rsidR="00643DC2" w:rsidRPr="00410E63" w:rsidRDefault="003171AC" w:rsidP="00410E63">
      <w:pPr>
        <w:spacing w:line="360" w:lineRule="auto"/>
      </w:pPr>
      <w:r w:rsidRPr="00410E63">
        <w:t xml:space="preserve">Diversi studi controllati hanno dimostrato l’efficacia del paracetamolo in associazione con codeina o con </w:t>
      </w:r>
      <w:proofErr w:type="spellStart"/>
      <w:r w:rsidRPr="00410E63">
        <w:t>doxilamina</w:t>
      </w:r>
      <w:proofErr w:type="spellEnd"/>
      <w:r w:rsidRPr="00410E63">
        <w:t xml:space="preserve"> e </w:t>
      </w:r>
      <w:proofErr w:type="spellStart"/>
      <w:r w:rsidRPr="00410E63">
        <w:t>buclizina</w:t>
      </w:r>
      <w:proofErr w:type="spellEnd"/>
      <w:r w:rsidRPr="00410E63">
        <w:t xml:space="preserve"> sul dolore cefalico. Tale associazione si è d</w:t>
      </w:r>
      <w:r w:rsidR="009459C5" w:rsidRPr="00410E63">
        <w:t>imostrata tuttavia non signifi</w:t>
      </w:r>
      <w:r w:rsidRPr="00410E63">
        <w:t xml:space="preserve">cativamente superiore al paracetamolo da solo. In uno studio più recente il paracetamolo associato alla codeina non si è dimostrato più efficace dell’aspirina nel </w:t>
      </w:r>
      <w:r w:rsidR="009459C5" w:rsidRPr="00410E63">
        <w:t>ridurre il dolore cefalico</w:t>
      </w:r>
      <w:r w:rsidRPr="00410E63">
        <w:t>. Uno studio non ha dimostrato la superiorità dell’associazione dell’aspiri</w:t>
      </w:r>
      <w:r w:rsidR="009459C5" w:rsidRPr="00410E63">
        <w:t xml:space="preserve">na con </w:t>
      </w:r>
      <w:proofErr w:type="spellStart"/>
      <w:r w:rsidR="009459C5" w:rsidRPr="00410E63">
        <w:t>destropropoxifene</w:t>
      </w:r>
      <w:proofErr w:type="spellEnd"/>
      <w:r w:rsidR="009459C5" w:rsidRPr="00410E63">
        <w:t xml:space="preserve"> e </w:t>
      </w:r>
      <w:proofErr w:type="spellStart"/>
      <w:r w:rsidR="009459C5" w:rsidRPr="00410E63">
        <w:t>fe</w:t>
      </w:r>
      <w:r w:rsidRPr="00410E63">
        <w:t>nazone</w:t>
      </w:r>
      <w:proofErr w:type="spellEnd"/>
      <w:r w:rsidRPr="00410E63">
        <w:t xml:space="preserve"> rispetto all’</w:t>
      </w:r>
      <w:proofErr w:type="spellStart"/>
      <w:r w:rsidRPr="00410E63">
        <w:t>ergotamina</w:t>
      </w:r>
      <w:proofErr w:type="spellEnd"/>
      <w:r w:rsidRPr="00410E63">
        <w:t xml:space="preserve">. Più recentemente il </w:t>
      </w:r>
      <w:proofErr w:type="spellStart"/>
      <w:r w:rsidRPr="00410E63">
        <w:t>tramadolo</w:t>
      </w:r>
      <w:proofErr w:type="spellEnd"/>
      <w:r w:rsidRPr="00410E63">
        <w:t xml:space="preserve"> per via </w:t>
      </w:r>
      <w:proofErr w:type="spellStart"/>
      <w:r w:rsidRPr="00410E63">
        <w:t>e.v.</w:t>
      </w:r>
      <w:proofErr w:type="spellEnd"/>
      <w:r w:rsidRPr="00410E63">
        <w:t>, da solo o i</w:t>
      </w:r>
      <w:r w:rsidR="00643DC2" w:rsidRPr="00410E63">
        <w:t>n combinazione con il paraceta</w:t>
      </w:r>
      <w:r w:rsidRPr="00410E63">
        <w:t>molo, si è dimostrato efficace nel trattamento dell’a</w:t>
      </w:r>
      <w:r w:rsidR="00643DC2" w:rsidRPr="00410E63">
        <w:t>ttacco emicranico</w:t>
      </w:r>
      <w:r w:rsidRPr="00410E63">
        <w:t>.</w:t>
      </w:r>
    </w:p>
    <w:p w:rsidR="00643DC2" w:rsidRPr="00410E63" w:rsidRDefault="003171AC" w:rsidP="00410E63">
      <w:pPr>
        <w:spacing w:line="360" w:lineRule="auto"/>
        <w:rPr>
          <w:i/>
        </w:rPr>
      </w:pPr>
      <w:r w:rsidRPr="00410E63">
        <w:rPr>
          <w:i/>
        </w:rPr>
        <w:t xml:space="preserve">L’Ad Hoc </w:t>
      </w:r>
      <w:proofErr w:type="spellStart"/>
      <w:r w:rsidRPr="00410E63">
        <w:rPr>
          <w:i/>
        </w:rPr>
        <w:t>Committee</w:t>
      </w:r>
      <w:proofErr w:type="spellEnd"/>
      <w:r w:rsidRPr="00410E63">
        <w:rPr>
          <w:i/>
        </w:rPr>
        <w:t xml:space="preserve"> ha </w:t>
      </w:r>
      <w:proofErr w:type="spellStart"/>
      <w:r w:rsidRPr="00410E63">
        <w:rPr>
          <w:i/>
        </w:rPr>
        <w:t>unanimamente</w:t>
      </w:r>
      <w:proofErr w:type="spellEnd"/>
      <w:r w:rsidRPr="00410E63">
        <w:rPr>
          <w:i/>
        </w:rPr>
        <w:t xml:space="preserve"> stabilito, sulla base dell’assen</w:t>
      </w:r>
      <w:r w:rsidR="00643DC2" w:rsidRPr="00410E63">
        <w:rPr>
          <w:i/>
        </w:rPr>
        <w:t>za di una maggiore e più signi</w:t>
      </w:r>
      <w:r w:rsidRPr="00410E63">
        <w:rPr>
          <w:i/>
        </w:rPr>
        <w:t>ficativa risposta della cefalea rispetto a quella rilevata per altri farmaci sintomatici e per il potenziale rischio di cronicizzazione della cefalea, che tale classe di farmaci non rappresenta una valida opzione terapeutica per il trattamento de</w:t>
      </w:r>
      <w:r w:rsidR="00643DC2" w:rsidRPr="00410E63">
        <w:rPr>
          <w:i/>
        </w:rPr>
        <w:t xml:space="preserve">lle crisi emicraniche. </w:t>
      </w:r>
    </w:p>
    <w:p w:rsidR="00643DC2" w:rsidRPr="00410E63" w:rsidRDefault="00643DC2" w:rsidP="00410E63">
      <w:pPr>
        <w:spacing w:line="360" w:lineRule="auto"/>
        <w:rPr>
          <w:b/>
          <w:sz w:val="24"/>
          <w:szCs w:val="24"/>
        </w:rPr>
      </w:pPr>
      <w:r w:rsidRPr="00410E63">
        <w:rPr>
          <w:b/>
          <w:sz w:val="24"/>
          <w:szCs w:val="24"/>
        </w:rPr>
        <w:lastRenderedPageBreak/>
        <w:t>BARBITURICI</w:t>
      </w:r>
    </w:p>
    <w:p w:rsidR="00643DC2" w:rsidRPr="00410E63" w:rsidRDefault="00643DC2" w:rsidP="00410E63">
      <w:pPr>
        <w:spacing w:line="360" w:lineRule="auto"/>
      </w:pPr>
      <w:r w:rsidRPr="00410E63">
        <w:t xml:space="preserve">Non sono disponibili dati a supporto dell’efficacia di tale classe di farmaci nel trattamento della crisi emicranica. Il loro uso dovrebbe essere evitato per il potenziale verificarsi di abuso, cefalea da </w:t>
      </w:r>
      <w:proofErr w:type="spellStart"/>
      <w:r w:rsidRPr="00410E63">
        <w:t>rebound</w:t>
      </w:r>
      <w:proofErr w:type="spellEnd"/>
      <w:r w:rsidRPr="00410E63">
        <w:t xml:space="preserve"> e cronicizzazione della cefalea.</w:t>
      </w:r>
    </w:p>
    <w:p w:rsidR="00643DC2" w:rsidRPr="00410E63" w:rsidRDefault="00643DC2" w:rsidP="00410E63">
      <w:pPr>
        <w:spacing w:line="360" w:lineRule="auto"/>
        <w:rPr>
          <w:b/>
          <w:sz w:val="24"/>
          <w:szCs w:val="24"/>
        </w:rPr>
      </w:pPr>
      <w:r w:rsidRPr="00410E63">
        <w:rPr>
          <w:b/>
          <w:sz w:val="24"/>
          <w:szCs w:val="24"/>
        </w:rPr>
        <w:t>CORTISONICI</w:t>
      </w:r>
    </w:p>
    <w:p w:rsidR="00643DC2" w:rsidRPr="00410E63" w:rsidRDefault="00643DC2" w:rsidP="00410E63">
      <w:pPr>
        <w:spacing w:line="360" w:lineRule="auto"/>
        <w:rPr>
          <w:sz w:val="24"/>
          <w:szCs w:val="24"/>
        </w:rPr>
      </w:pPr>
      <w:r w:rsidRPr="00410E63">
        <w:t>S</w:t>
      </w:r>
      <w:r w:rsidR="003171AC" w:rsidRPr="00410E63">
        <w:t xml:space="preserve">ono stati condotti diversi studi che hanno fornito risultati contrastanti e che non permettono di trarre conclusioni definitive sull’efficacia dei cortisonici nel trattamento della crisi emicranica soprattutto nelle forme di cefalee resistenti al trattamento e nell’intento </w:t>
      </w:r>
      <w:r w:rsidRPr="00410E63">
        <w:t>di ridurre le recidive</w:t>
      </w:r>
      <w:r w:rsidR="003171AC" w:rsidRPr="00410E63">
        <w:t>. Il</w:t>
      </w:r>
      <w:r w:rsidR="003171AC" w:rsidRPr="00410E63">
        <w:rPr>
          <w:sz w:val="24"/>
          <w:szCs w:val="24"/>
        </w:rPr>
        <w:t xml:space="preserve"> </w:t>
      </w:r>
      <w:r w:rsidR="003171AC" w:rsidRPr="00410E63">
        <w:t xml:space="preserve">consenso degli Esperti raccomanda 50-100 mg di prednisone per </w:t>
      </w:r>
      <w:proofErr w:type="spellStart"/>
      <w:r w:rsidR="003171AC" w:rsidRPr="00410E63">
        <w:t>os</w:t>
      </w:r>
      <w:proofErr w:type="spellEnd"/>
      <w:r w:rsidR="003171AC" w:rsidRPr="00410E63">
        <w:t xml:space="preserve"> (gli studi disponibili </w:t>
      </w:r>
      <w:proofErr w:type="spellStart"/>
      <w:r w:rsidR="003171AC" w:rsidRPr="00410E63">
        <w:t>riportono</w:t>
      </w:r>
      <w:proofErr w:type="spellEnd"/>
      <w:r w:rsidR="003171AC" w:rsidRPr="00410E63">
        <w:t xml:space="preserve"> dosaggi di 40 mg/</w:t>
      </w:r>
      <w:proofErr w:type="spellStart"/>
      <w:r w:rsidR="003171AC" w:rsidRPr="00410E63">
        <w:t>die</w:t>
      </w:r>
      <w:proofErr w:type="spellEnd"/>
      <w:r w:rsidR="003171AC" w:rsidRPr="00410E63">
        <w:t xml:space="preserve"> per 2 giorni) nel trattamento delle recidive sebbene non emergano dati concordi dai trial controllati con </w:t>
      </w:r>
      <w:r w:rsidRPr="00410E63">
        <w:t xml:space="preserve">placebo. </w:t>
      </w:r>
      <w:r w:rsidR="003171AC" w:rsidRPr="00410E63">
        <w:t xml:space="preserve">Il </w:t>
      </w:r>
      <w:proofErr w:type="spellStart"/>
      <w:r w:rsidR="003171AC" w:rsidRPr="00410E63">
        <w:t>desametazone</w:t>
      </w:r>
      <w:proofErr w:type="spellEnd"/>
      <w:r w:rsidR="003171AC" w:rsidRPr="00410E63">
        <w:t xml:space="preserve"> è una delle opzioni terapeutiche per il trattamento</w:t>
      </w:r>
      <w:r w:rsidRPr="00410E63">
        <w:t xml:space="preserve"> dello stato di male emicranico. </w:t>
      </w:r>
      <w:r w:rsidR="003171AC" w:rsidRPr="00410E63">
        <w:t xml:space="preserve">Gli studi disponibili hanno utilizzato </w:t>
      </w:r>
      <w:r w:rsidRPr="00410E63">
        <w:t>i dosaggi da 10 a 20 mg per EV e il dosaggio di 20 mg IM</w:t>
      </w:r>
      <w:r w:rsidR="003171AC" w:rsidRPr="00410E63">
        <w:t xml:space="preserve">. I dati disponibili per l’utilizzo del </w:t>
      </w:r>
      <w:proofErr w:type="spellStart"/>
      <w:r w:rsidR="003171AC" w:rsidRPr="00410E63">
        <w:t>m</w:t>
      </w:r>
      <w:r w:rsidRPr="00410E63">
        <w:t>etilprednisolone</w:t>
      </w:r>
      <w:proofErr w:type="spellEnd"/>
      <w:r w:rsidRPr="00410E63">
        <w:t xml:space="preserve"> sono limitati.</w:t>
      </w:r>
    </w:p>
    <w:p w:rsidR="00643DC2" w:rsidRPr="00410E63" w:rsidRDefault="00643DC2" w:rsidP="00410E63">
      <w:pPr>
        <w:spacing w:line="360" w:lineRule="auto"/>
        <w:rPr>
          <w:b/>
          <w:sz w:val="24"/>
          <w:szCs w:val="24"/>
        </w:rPr>
      </w:pPr>
      <w:r w:rsidRPr="00410E63">
        <w:rPr>
          <w:b/>
          <w:sz w:val="24"/>
          <w:szCs w:val="24"/>
        </w:rPr>
        <w:t>ACIDO VALPROICO</w:t>
      </w:r>
    </w:p>
    <w:p w:rsidR="00AA4247" w:rsidRPr="00410E63" w:rsidRDefault="00643DC2" w:rsidP="00410E63">
      <w:pPr>
        <w:spacing w:line="360" w:lineRule="auto"/>
      </w:pPr>
      <w:r w:rsidRPr="00410E63">
        <w:t xml:space="preserve">L’acido </w:t>
      </w:r>
      <w:proofErr w:type="spellStart"/>
      <w:r w:rsidRPr="00410E63">
        <w:t>valproico</w:t>
      </w:r>
      <w:proofErr w:type="spellEnd"/>
      <w:r w:rsidRPr="00410E63">
        <w:t xml:space="preserve"> per via </w:t>
      </w:r>
      <w:proofErr w:type="spellStart"/>
      <w:r w:rsidRPr="00410E63">
        <w:t>ev</w:t>
      </w:r>
      <w:proofErr w:type="spellEnd"/>
      <w:r w:rsidR="003171AC" w:rsidRPr="00410E63">
        <w:t xml:space="preserve"> al dosaggio di 300-800 mg si è dimostrat</w:t>
      </w:r>
      <w:r w:rsidRPr="00410E63">
        <w:t>o efficace nel trattamento del</w:t>
      </w:r>
      <w:r w:rsidR="003171AC" w:rsidRPr="00410E63">
        <w:t>l’attacco emicranico ma i riscontri promettenti a riguardo devono ess</w:t>
      </w:r>
      <w:r w:rsidRPr="00410E63">
        <w:t>ere confermati da studi in dop</w:t>
      </w:r>
      <w:r w:rsidR="003171AC" w:rsidRPr="00410E63">
        <w:t>pio cieco versus placebo coinvolgenti campioni più numerosi di pazienti</w:t>
      </w:r>
      <w:r w:rsidR="002E0D74" w:rsidRPr="00410E63">
        <w:t>.</w:t>
      </w:r>
    </w:p>
    <w:p w:rsidR="009D514F" w:rsidRPr="00410E63" w:rsidRDefault="009D514F" w:rsidP="00410E63">
      <w:pPr>
        <w:spacing w:line="360" w:lineRule="auto"/>
        <w:rPr>
          <w:b/>
          <w:sz w:val="24"/>
          <w:szCs w:val="24"/>
        </w:rPr>
      </w:pPr>
      <w:r w:rsidRPr="00410E63">
        <w:rPr>
          <w:b/>
          <w:sz w:val="24"/>
          <w:szCs w:val="24"/>
        </w:rPr>
        <w:t>LIDOCAINA</w:t>
      </w:r>
    </w:p>
    <w:p w:rsidR="009D514F" w:rsidRPr="00410E63" w:rsidRDefault="009D514F" w:rsidP="00410E63">
      <w:pPr>
        <w:spacing w:line="360" w:lineRule="auto"/>
      </w:pPr>
      <w:r w:rsidRPr="00410E63">
        <w:t xml:space="preserve">Vi sono dati molto limitati che supportano l’efficacia della lidocaina </w:t>
      </w:r>
      <w:proofErr w:type="spellStart"/>
      <w:r w:rsidRPr="00410E63">
        <w:t>e.v.</w:t>
      </w:r>
      <w:proofErr w:type="spellEnd"/>
      <w:r w:rsidRPr="00410E63">
        <w:t xml:space="preserve"> nel trattamento dell’attacco emicranico e la possibile utilità nelle forme croniche e refrattarie a altri trattamenti con e senza abuso di farmaci sintomatici. I risultati degli studi randomizzati in doppio cieco indicano una modesta ma significativa efficacia, sebbene essa sia accompagnata da recidive frequenti e precoci.</w:t>
      </w:r>
    </w:p>
    <w:p w:rsidR="009D514F" w:rsidRPr="00410E63" w:rsidRDefault="009D514F" w:rsidP="00410E63">
      <w:pPr>
        <w:spacing w:line="360" w:lineRule="auto"/>
        <w:rPr>
          <w:b/>
          <w:sz w:val="24"/>
          <w:szCs w:val="24"/>
        </w:rPr>
      </w:pPr>
      <w:r w:rsidRPr="00410E63">
        <w:rPr>
          <w:b/>
          <w:sz w:val="24"/>
          <w:szCs w:val="24"/>
        </w:rPr>
        <w:t>GEPANTI</w:t>
      </w:r>
    </w:p>
    <w:p w:rsidR="00A31F06" w:rsidRPr="00410E63" w:rsidRDefault="009D514F" w:rsidP="00410E63">
      <w:pPr>
        <w:spacing w:line="360" w:lineRule="auto"/>
      </w:pPr>
      <w:r w:rsidRPr="00410E63">
        <w:t xml:space="preserve">Partendo dai dati </w:t>
      </w:r>
      <w:proofErr w:type="spellStart"/>
      <w:r w:rsidRPr="00410E63">
        <w:t>pre-clinici</w:t>
      </w:r>
      <w:proofErr w:type="spellEnd"/>
      <w:r w:rsidRPr="00410E63">
        <w:t xml:space="preserve"> e clinici che suggeriscono un ruolo per il peptide correlato al gene della calcitonina (</w:t>
      </w:r>
      <w:proofErr w:type="spellStart"/>
      <w:r w:rsidRPr="00410E63">
        <w:t>calcitonin</w:t>
      </w:r>
      <w:proofErr w:type="spellEnd"/>
      <w:r w:rsidRPr="00410E63">
        <w:t xml:space="preserve"> </w:t>
      </w:r>
      <w:proofErr w:type="spellStart"/>
      <w:r w:rsidRPr="00410E63">
        <w:t>gene-related</w:t>
      </w:r>
      <w:proofErr w:type="spellEnd"/>
      <w:r w:rsidRPr="00410E63">
        <w:t xml:space="preserve"> </w:t>
      </w:r>
      <w:proofErr w:type="spellStart"/>
      <w:r w:rsidRPr="00410E63">
        <w:t>peptide-CGRP</w:t>
      </w:r>
      <w:proofErr w:type="spellEnd"/>
      <w:r w:rsidRPr="00410E63">
        <w:t xml:space="preserve">) nel determinismo degli attacchi emicranici, nel corso degli ultimi anni sono stati sviluppati antagonisti selettivi di tale sostanza. Uno di questi, il BIBN 4096, noto anche come </w:t>
      </w:r>
      <w:proofErr w:type="spellStart"/>
      <w:r w:rsidRPr="00410E63">
        <w:t>olcegepant</w:t>
      </w:r>
      <w:proofErr w:type="spellEnd"/>
      <w:r w:rsidRPr="00410E63">
        <w:t xml:space="preserve">, ha mostrato una efficacia antiemicrania in uno studio </w:t>
      </w:r>
      <w:proofErr w:type="spellStart"/>
      <w:r w:rsidRPr="00410E63">
        <w:t>proof-of-</w:t>
      </w:r>
      <w:proofErr w:type="spellEnd"/>
      <w:r w:rsidRPr="00410E63">
        <w:t xml:space="preserve"> </w:t>
      </w:r>
      <w:proofErr w:type="spellStart"/>
      <w:r w:rsidRPr="00410E63">
        <w:t>concep</w:t>
      </w:r>
      <w:proofErr w:type="spellEnd"/>
      <w:r w:rsidRPr="00410E63">
        <w:t xml:space="preserve"> che ne valutava l’effetto in acuto, con la limitazione che il farmaco andava somministrato per via endovenosa. L’utilità di sviluppare molecole biodisponibili in seguito all’assunzione per </w:t>
      </w:r>
      <w:proofErr w:type="spellStart"/>
      <w:r w:rsidRPr="00410E63">
        <w:t>os</w:t>
      </w:r>
      <w:proofErr w:type="spellEnd"/>
      <w:r w:rsidRPr="00410E63">
        <w:t xml:space="preserve"> ha portato all’identificazione di altri antagonisti del CGRP: il </w:t>
      </w:r>
      <w:proofErr w:type="spellStart"/>
      <w:r w:rsidRPr="00410E63">
        <w:t>telcagepant</w:t>
      </w:r>
      <w:proofErr w:type="spellEnd"/>
      <w:r w:rsidRPr="00410E63">
        <w:t xml:space="preserve">, MK-0974, efficace dopo somministrazione orale a dosaggi variabili </w:t>
      </w:r>
      <w:r w:rsidRPr="00410E63">
        <w:lastRenderedPageBreak/>
        <w:t>da 50 a 300 mg (642-644), e l’MK-3207, che in un studio condotto su oltre 500 soggetti ha evidenziato un’efficacia superiore al placebo, associata a una buona tollerabilità. Anche il BI-44370, alla dose di 400 mg, ha mostrato efficacia superiore al placebo nel trattamento acuto dell’emicrania in uno studio di fase II e è attualmente in corso di valutazione in studi clinici controllati di fase III. Sono attualmente in fase di sviluppo altre varianti molecolari di antagonisti del CGRP, per cui appare prevedibile una notevole espansione in questo specifico settore terapeutico. Al momento nessuno di questi farmaci è disponibile e non è ancora prevedibile l’immissione in commercio per l’utilizzo in ambito clinico.</w:t>
      </w:r>
    </w:p>
    <w:p w:rsidR="00410E63" w:rsidRDefault="00410E63" w:rsidP="00410E63">
      <w:pPr>
        <w:spacing w:line="360" w:lineRule="auto"/>
        <w:rPr>
          <w:b/>
          <w:sz w:val="24"/>
          <w:szCs w:val="24"/>
        </w:rPr>
      </w:pPr>
    </w:p>
    <w:p w:rsidR="00410E63" w:rsidRPr="00410E63" w:rsidRDefault="00A31F06" w:rsidP="00410E63">
      <w:pPr>
        <w:spacing w:line="360" w:lineRule="auto"/>
        <w:rPr>
          <w:b/>
          <w:sz w:val="24"/>
          <w:szCs w:val="24"/>
        </w:rPr>
      </w:pPr>
      <w:r w:rsidRPr="00410E63">
        <w:rPr>
          <w:b/>
          <w:sz w:val="24"/>
          <w:szCs w:val="24"/>
        </w:rPr>
        <w:t>TRATTAMENTO DELL’EMICRANIA IN PS</w:t>
      </w:r>
    </w:p>
    <w:p w:rsidR="00864A45" w:rsidRPr="00410E63" w:rsidRDefault="00A31F06" w:rsidP="00410E63">
      <w:pPr>
        <w:spacing w:line="360" w:lineRule="auto"/>
        <w:rPr>
          <w:rFonts w:eastAsia="Times New Roman" w:cs="Times New Roman"/>
          <w:lang w:eastAsia="it-IT"/>
        </w:rPr>
      </w:pPr>
      <w:r w:rsidRPr="00410E63">
        <w:rPr>
          <w:rFonts w:eastAsia="Times New Roman" w:cs="Times New Roman"/>
          <w:lang w:eastAsia="it-IT"/>
        </w:rPr>
        <w:t>I pazienti che ricorrono al PS hanno generalmente attacchi insolitamente gravi e in molti casi il consueto trattamento dell'emicrania acuta non ha sortito effetto.  Il trattamento degli attacchi di emicrania nel reparto di emergenza segue gli stessi principi di gestione trattati in precedenza, con l'ovvia differenza che i farmaci utilizzati per via parenterale sono più rapidamente efficaci.</w:t>
      </w:r>
      <w:r w:rsidR="00864A45" w:rsidRPr="00410E63">
        <w:rPr>
          <w:rFonts w:eastAsia="Times New Roman" w:cs="Times New Roman"/>
          <w:lang w:eastAsia="it-IT"/>
        </w:rPr>
        <w:t xml:space="preserve"> </w:t>
      </w:r>
      <w:r w:rsidRPr="00410E63">
        <w:rPr>
          <w:rFonts w:eastAsia="Times New Roman" w:cs="Times New Roman"/>
          <w:lang w:eastAsia="it-IT"/>
        </w:rPr>
        <w:t xml:space="preserve">Le </w:t>
      </w:r>
      <w:r w:rsidR="00864A45" w:rsidRPr="00410E63">
        <w:rPr>
          <w:rFonts w:eastAsia="Times New Roman" w:cs="Times New Roman"/>
          <w:lang w:eastAsia="it-IT"/>
        </w:rPr>
        <w:t>possibili opzioni, tutte supportate da prove di efficacia in studi randomizzati sono:</w:t>
      </w:r>
    </w:p>
    <w:p w:rsidR="00864A45" w:rsidRPr="00410E63" w:rsidRDefault="00864A45" w:rsidP="00410E63">
      <w:pPr>
        <w:pStyle w:val="Paragrafoelenco"/>
        <w:numPr>
          <w:ilvl w:val="0"/>
          <w:numId w:val="2"/>
        </w:numPr>
        <w:spacing w:line="360" w:lineRule="auto"/>
        <w:rPr>
          <w:rFonts w:eastAsia="Times New Roman" w:cs="Times New Roman"/>
          <w:lang w:eastAsia="it-IT"/>
        </w:rPr>
      </w:pPr>
      <w:proofErr w:type="spellStart"/>
      <w:r w:rsidRPr="00410E63">
        <w:rPr>
          <w:rFonts w:eastAsia="Times New Roman" w:cs="Times New Roman"/>
          <w:lang w:eastAsia="it-IT"/>
        </w:rPr>
        <w:t>Sumatriptan</w:t>
      </w:r>
      <w:proofErr w:type="spellEnd"/>
      <w:r w:rsidRPr="00410E63">
        <w:rPr>
          <w:rFonts w:eastAsia="Times New Roman" w:cs="Times New Roman"/>
          <w:lang w:eastAsia="it-IT"/>
        </w:rPr>
        <w:t xml:space="preserve"> 6 mg iniezione sottocutanea</w:t>
      </w:r>
    </w:p>
    <w:p w:rsidR="00864A45" w:rsidRPr="00410E63" w:rsidRDefault="00864A45" w:rsidP="00410E63">
      <w:pPr>
        <w:pStyle w:val="Paragrafoelenco"/>
        <w:numPr>
          <w:ilvl w:val="0"/>
          <w:numId w:val="2"/>
        </w:numPr>
        <w:spacing w:line="360" w:lineRule="auto"/>
      </w:pPr>
      <w:r w:rsidRPr="00410E63">
        <w:rPr>
          <w:rFonts w:eastAsia="Times New Roman" w:cs="Times New Roman"/>
          <w:lang w:eastAsia="it-IT"/>
        </w:rPr>
        <w:t xml:space="preserve">Antiemetici /antagonisti del recettore della dopamina </w:t>
      </w:r>
    </w:p>
    <w:p w:rsidR="00864A45" w:rsidRPr="00410E63" w:rsidRDefault="00864A45" w:rsidP="00410E63">
      <w:pPr>
        <w:pStyle w:val="Paragrafoelenco"/>
        <w:numPr>
          <w:ilvl w:val="1"/>
          <w:numId w:val="2"/>
        </w:numPr>
        <w:spacing w:line="360" w:lineRule="auto"/>
        <w:rPr>
          <w:rFonts w:eastAsia="Times New Roman" w:cs="Times New Roman"/>
          <w:lang w:eastAsia="it-IT"/>
        </w:rPr>
      </w:pPr>
      <w:proofErr w:type="spellStart"/>
      <w:r w:rsidRPr="00410E63">
        <w:rPr>
          <w:rFonts w:eastAsia="Times New Roman" w:cs="Times New Roman"/>
          <w:lang w:eastAsia="it-IT"/>
        </w:rPr>
        <w:t>Metoclopramide</w:t>
      </w:r>
      <w:proofErr w:type="spellEnd"/>
      <w:r w:rsidRPr="00410E63">
        <w:rPr>
          <w:rFonts w:eastAsia="Times New Roman" w:cs="Times New Roman"/>
          <w:lang w:eastAsia="it-IT"/>
        </w:rPr>
        <w:t xml:space="preserve"> 10 mg per via endovenosa</w:t>
      </w:r>
    </w:p>
    <w:p w:rsidR="00864A45" w:rsidRPr="00410E63" w:rsidRDefault="00864A45" w:rsidP="00410E63">
      <w:pPr>
        <w:pStyle w:val="Paragrafoelenco"/>
        <w:numPr>
          <w:ilvl w:val="1"/>
          <w:numId w:val="2"/>
        </w:numPr>
        <w:spacing w:line="360" w:lineRule="auto"/>
        <w:rPr>
          <w:rFonts w:eastAsia="Times New Roman" w:cs="Times New Roman"/>
          <w:lang w:eastAsia="it-IT"/>
        </w:rPr>
      </w:pPr>
      <w:proofErr w:type="spellStart"/>
      <w:r w:rsidRPr="00410E63">
        <w:rPr>
          <w:rFonts w:eastAsia="Times New Roman" w:cs="Times New Roman"/>
          <w:lang w:eastAsia="it-IT"/>
        </w:rPr>
        <w:t>Prochlorperazine</w:t>
      </w:r>
      <w:proofErr w:type="spellEnd"/>
      <w:r w:rsidRPr="00410E63">
        <w:rPr>
          <w:rFonts w:eastAsia="Times New Roman" w:cs="Times New Roman"/>
          <w:lang w:eastAsia="it-IT"/>
        </w:rPr>
        <w:t xml:space="preserve"> 10 mg </w:t>
      </w:r>
      <w:proofErr w:type="spellStart"/>
      <w:r w:rsidRPr="00410E63">
        <w:rPr>
          <w:rFonts w:eastAsia="Times New Roman" w:cs="Times New Roman"/>
          <w:lang w:eastAsia="it-IT"/>
        </w:rPr>
        <w:t>ev</w:t>
      </w:r>
      <w:proofErr w:type="spellEnd"/>
      <w:r w:rsidRPr="00410E63">
        <w:rPr>
          <w:rFonts w:eastAsia="Times New Roman" w:cs="Times New Roman"/>
          <w:lang w:eastAsia="it-IT"/>
        </w:rPr>
        <w:t xml:space="preserve"> o per via intramuscolare</w:t>
      </w:r>
    </w:p>
    <w:p w:rsidR="00864A45" w:rsidRPr="00410E63" w:rsidRDefault="00864A45" w:rsidP="00410E63">
      <w:pPr>
        <w:pStyle w:val="Paragrafoelenco"/>
        <w:numPr>
          <w:ilvl w:val="1"/>
          <w:numId w:val="2"/>
        </w:numPr>
        <w:spacing w:line="360" w:lineRule="auto"/>
        <w:rPr>
          <w:rFonts w:eastAsia="Times New Roman" w:cs="Times New Roman"/>
          <w:lang w:eastAsia="it-IT"/>
        </w:rPr>
      </w:pPr>
      <w:proofErr w:type="spellStart"/>
      <w:r w:rsidRPr="00410E63">
        <w:rPr>
          <w:rFonts w:eastAsia="Times New Roman" w:cs="Times New Roman"/>
          <w:lang w:eastAsia="it-IT"/>
        </w:rPr>
        <w:t>Chlorpromazine</w:t>
      </w:r>
      <w:proofErr w:type="spellEnd"/>
      <w:r w:rsidRPr="00410E63">
        <w:rPr>
          <w:rFonts w:eastAsia="Times New Roman" w:cs="Times New Roman"/>
          <w:lang w:eastAsia="it-IT"/>
        </w:rPr>
        <w:t xml:space="preserve"> tra 0,1 e 1 mg / kg per via endovenosa</w:t>
      </w:r>
      <w:r w:rsidRPr="00410E63">
        <w:rPr>
          <w:rFonts w:eastAsia="Times New Roman" w:cs="Times New Roman"/>
          <w:lang w:eastAsia="it-IT"/>
        </w:rPr>
        <w:br/>
      </w:r>
    </w:p>
    <w:p w:rsidR="00864A45" w:rsidRPr="00410E63" w:rsidRDefault="00864A45" w:rsidP="00410E63">
      <w:pPr>
        <w:pStyle w:val="Paragrafoelenco"/>
        <w:numPr>
          <w:ilvl w:val="0"/>
          <w:numId w:val="2"/>
        </w:numPr>
        <w:spacing w:line="360" w:lineRule="auto"/>
        <w:rPr>
          <w:rFonts w:eastAsia="Times New Roman" w:cs="Times New Roman"/>
          <w:lang w:eastAsia="it-IT"/>
        </w:rPr>
      </w:pPr>
      <w:proofErr w:type="spellStart"/>
      <w:r w:rsidRPr="00410E63">
        <w:rPr>
          <w:rFonts w:eastAsia="Times New Roman" w:cs="Times New Roman"/>
          <w:lang w:eastAsia="it-IT"/>
        </w:rPr>
        <w:t>Diidroergotamina</w:t>
      </w:r>
      <w:proofErr w:type="spellEnd"/>
      <w:r w:rsidRPr="00410E63">
        <w:rPr>
          <w:rFonts w:eastAsia="Times New Roman" w:cs="Times New Roman"/>
          <w:lang w:eastAsia="it-IT"/>
        </w:rPr>
        <w:t xml:space="preserve"> (1 mg </w:t>
      </w:r>
      <w:proofErr w:type="spellStart"/>
      <w:r w:rsidRPr="00410E63">
        <w:rPr>
          <w:rFonts w:eastAsia="Times New Roman" w:cs="Times New Roman"/>
          <w:lang w:eastAsia="it-IT"/>
        </w:rPr>
        <w:t>ev</w:t>
      </w:r>
      <w:proofErr w:type="spellEnd"/>
      <w:r w:rsidRPr="00410E63">
        <w:rPr>
          <w:rFonts w:eastAsia="Times New Roman" w:cs="Times New Roman"/>
          <w:lang w:eastAsia="it-IT"/>
        </w:rPr>
        <w:t xml:space="preserve">) in combinazione con </w:t>
      </w:r>
      <w:proofErr w:type="spellStart"/>
      <w:r w:rsidRPr="00410E63">
        <w:rPr>
          <w:rFonts w:eastAsia="Times New Roman" w:cs="Times New Roman"/>
          <w:lang w:eastAsia="it-IT"/>
        </w:rPr>
        <w:t>metoclopramide</w:t>
      </w:r>
      <w:proofErr w:type="spellEnd"/>
      <w:r w:rsidRPr="00410E63">
        <w:rPr>
          <w:rFonts w:eastAsia="Times New Roman" w:cs="Times New Roman"/>
          <w:lang w:eastAsia="it-IT"/>
        </w:rPr>
        <w:t xml:space="preserve"> (10 mg </w:t>
      </w:r>
      <w:proofErr w:type="spellStart"/>
      <w:r w:rsidRPr="00410E63">
        <w:rPr>
          <w:rFonts w:eastAsia="Times New Roman" w:cs="Times New Roman"/>
          <w:lang w:eastAsia="it-IT"/>
        </w:rPr>
        <w:t>ev</w:t>
      </w:r>
      <w:proofErr w:type="spellEnd"/>
      <w:r w:rsidRPr="00410E63">
        <w:rPr>
          <w:rFonts w:eastAsia="Times New Roman" w:cs="Times New Roman"/>
          <w:lang w:eastAsia="it-IT"/>
        </w:rPr>
        <w:t>)</w:t>
      </w:r>
    </w:p>
    <w:p w:rsidR="00864A45" w:rsidRPr="00410E63" w:rsidRDefault="00864A45" w:rsidP="00410E63">
      <w:pPr>
        <w:pStyle w:val="Paragrafoelenco"/>
        <w:numPr>
          <w:ilvl w:val="0"/>
          <w:numId w:val="2"/>
        </w:numPr>
        <w:spacing w:line="360" w:lineRule="auto"/>
        <w:rPr>
          <w:rFonts w:eastAsia="Times New Roman" w:cs="Times New Roman"/>
          <w:lang w:eastAsia="it-IT"/>
        </w:rPr>
      </w:pPr>
      <w:proofErr w:type="spellStart"/>
      <w:r w:rsidRPr="00410E63">
        <w:rPr>
          <w:rFonts w:eastAsia="Times New Roman" w:cs="Times New Roman"/>
          <w:lang w:eastAsia="it-IT"/>
        </w:rPr>
        <w:t>Ketorolac</w:t>
      </w:r>
      <w:proofErr w:type="spellEnd"/>
      <w:r w:rsidRPr="00410E63">
        <w:rPr>
          <w:rFonts w:eastAsia="Times New Roman" w:cs="Times New Roman"/>
          <w:lang w:eastAsia="it-IT"/>
        </w:rPr>
        <w:t xml:space="preserve"> 30 mg </w:t>
      </w:r>
      <w:proofErr w:type="spellStart"/>
      <w:r w:rsidRPr="00410E63">
        <w:rPr>
          <w:rFonts w:eastAsia="Times New Roman" w:cs="Times New Roman"/>
          <w:lang w:eastAsia="it-IT"/>
        </w:rPr>
        <w:t>ev</w:t>
      </w:r>
      <w:proofErr w:type="spellEnd"/>
      <w:r w:rsidRPr="00410E63">
        <w:rPr>
          <w:rFonts w:eastAsia="Times New Roman" w:cs="Times New Roman"/>
          <w:lang w:eastAsia="it-IT"/>
        </w:rPr>
        <w:t xml:space="preserve"> o 60 mg per via intramuscolare.</w:t>
      </w:r>
    </w:p>
    <w:p w:rsidR="00712F65" w:rsidRPr="00410E63" w:rsidRDefault="00A31F06" w:rsidP="00410E63">
      <w:pPr>
        <w:spacing w:line="360" w:lineRule="auto"/>
        <w:rPr>
          <w:rFonts w:eastAsia="Times New Roman" w:cs="Times New Roman"/>
          <w:lang w:eastAsia="it-IT"/>
        </w:rPr>
      </w:pPr>
      <w:r w:rsidRPr="00410E63">
        <w:rPr>
          <w:rFonts w:eastAsia="Times New Roman" w:cs="Times New Roman"/>
          <w:lang w:eastAsia="it-IT"/>
        </w:rPr>
        <w:t>Per i pazienti che si presentano a</w:t>
      </w:r>
      <w:r w:rsidR="00864A45" w:rsidRPr="00410E63">
        <w:rPr>
          <w:rFonts w:eastAsia="Times New Roman" w:cs="Times New Roman"/>
          <w:lang w:eastAsia="it-IT"/>
        </w:rPr>
        <w:t>l pronto soccorso con un attacco severo</w:t>
      </w:r>
      <w:r w:rsidRPr="00410E63">
        <w:rPr>
          <w:rFonts w:eastAsia="Times New Roman" w:cs="Times New Roman"/>
          <w:lang w:eastAsia="it-IT"/>
        </w:rPr>
        <w:t xml:space="preserve">, </w:t>
      </w:r>
      <w:r w:rsidR="00864A45" w:rsidRPr="00410E63">
        <w:rPr>
          <w:rFonts w:eastAsia="Times New Roman" w:cs="Times New Roman"/>
          <w:lang w:eastAsia="it-IT"/>
        </w:rPr>
        <w:t>in particolare se accompagnato</w:t>
      </w:r>
      <w:r w:rsidRPr="00410E63">
        <w:rPr>
          <w:rFonts w:eastAsia="Times New Roman" w:cs="Times New Roman"/>
          <w:lang w:eastAsia="it-IT"/>
        </w:rPr>
        <w:t xml:space="preserve"> da nausea o vomito grave, si consiglia </w:t>
      </w:r>
      <w:r w:rsidR="00864A45" w:rsidRPr="00410E63">
        <w:rPr>
          <w:rFonts w:eastAsia="Times New Roman" w:cs="Times New Roman"/>
          <w:lang w:eastAsia="it-IT"/>
        </w:rPr>
        <w:t xml:space="preserve">il trattamento iniziale con </w:t>
      </w:r>
      <w:proofErr w:type="spellStart"/>
      <w:r w:rsidRPr="00410E63">
        <w:rPr>
          <w:rFonts w:eastAsia="Times New Roman" w:cs="Times New Roman"/>
          <w:lang w:eastAsia="it-IT"/>
        </w:rPr>
        <w:t>sumatriptan</w:t>
      </w:r>
      <w:proofErr w:type="spellEnd"/>
      <w:r w:rsidRPr="00410E63">
        <w:rPr>
          <w:rFonts w:eastAsia="Times New Roman" w:cs="Times New Roman"/>
          <w:lang w:eastAsia="it-IT"/>
        </w:rPr>
        <w:t xml:space="preserve"> per via sottocutanea o </w:t>
      </w:r>
      <w:r w:rsidR="00864A45" w:rsidRPr="00410E63">
        <w:rPr>
          <w:rFonts w:eastAsia="Times New Roman" w:cs="Times New Roman"/>
          <w:lang w:eastAsia="it-IT"/>
        </w:rPr>
        <w:t xml:space="preserve">con </w:t>
      </w:r>
      <w:r w:rsidRPr="00410E63">
        <w:rPr>
          <w:rFonts w:eastAsia="Times New Roman" w:cs="Times New Roman"/>
          <w:lang w:eastAsia="it-IT"/>
        </w:rPr>
        <w:t xml:space="preserve">un antiemetico parenterale (cioè, </w:t>
      </w:r>
      <w:proofErr w:type="spellStart"/>
      <w:r w:rsidRPr="00410E63">
        <w:rPr>
          <w:rFonts w:eastAsia="Times New Roman" w:cs="Times New Roman"/>
          <w:lang w:eastAsia="it-IT"/>
        </w:rPr>
        <w:t>metoclopramide</w:t>
      </w:r>
      <w:proofErr w:type="spellEnd"/>
      <w:r w:rsidRPr="00410E63">
        <w:rPr>
          <w:rFonts w:eastAsia="Times New Roman" w:cs="Times New Roman"/>
          <w:lang w:eastAsia="it-IT"/>
        </w:rPr>
        <w:t xml:space="preserve">, </w:t>
      </w:r>
      <w:proofErr w:type="spellStart"/>
      <w:r w:rsidRPr="00410E63">
        <w:rPr>
          <w:rFonts w:eastAsia="Times New Roman" w:cs="Times New Roman"/>
          <w:lang w:eastAsia="it-IT"/>
        </w:rPr>
        <w:t>proclorperazina</w:t>
      </w:r>
      <w:proofErr w:type="spellEnd"/>
      <w:r w:rsidRPr="00410E63">
        <w:rPr>
          <w:rFonts w:eastAsia="Times New Roman" w:cs="Times New Roman"/>
          <w:lang w:eastAsia="it-IT"/>
        </w:rPr>
        <w:t xml:space="preserve">, o </w:t>
      </w:r>
      <w:proofErr w:type="spellStart"/>
      <w:r w:rsidRPr="00410E63">
        <w:rPr>
          <w:rFonts w:eastAsia="Times New Roman" w:cs="Times New Roman"/>
          <w:lang w:eastAsia="it-IT"/>
        </w:rPr>
        <w:t>c</w:t>
      </w:r>
      <w:r w:rsidR="00864A45" w:rsidRPr="00410E63">
        <w:rPr>
          <w:rFonts w:eastAsia="Times New Roman" w:cs="Times New Roman"/>
          <w:lang w:eastAsia="it-IT"/>
        </w:rPr>
        <w:t>lorpromazina</w:t>
      </w:r>
      <w:proofErr w:type="spellEnd"/>
      <w:r w:rsidR="00864A45" w:rsidRPr="00410E63">
        <w:rPr>
          <w:rFonts w:eastAsia="Times New Roman" w:cs="Times New Roman"/>
          <w:lang w:eastAsia="it-IT"/>
        </w:rPr>
        <w:t>) alle dosi elencate sopra. Durante la somministrazione di</w:t>
      </w:r>
      <w:r w:rsidRPr="00410E63">
        <w:rPr>
          <w:rFonts w:eastAsia="Times New Roman" w:cs="Times New Roman"/>
          <w:lang w:eastAsia="it-IT"/>
        </w:rPr>
        <w:t xml:space="preserve"> antiemetici per</w:t>
      </w:r>
      <w:r w:rsidR="00864A45" w:rsidRPr="00410E63">
        <w:rPr>
          <w:rFonts w:eastAsia="Times New Roman" w:cs="Times New Roman"/>
          <w:lang w:eastAsia="it-IT"/>
        </w:rPr>
        <w:t xml:space="preserve"> via parenterale, alcuni studi </w:t>
      </w:r>
      <w:r w:rsidR="00712F65" w:rsidRPr="00410E63">
        <w:rPr>
          <w:rFonts w:eastAsia="Times New Roman" w:cs="Times New Roman"/>
          <w:lang w:eastAsia="it-IT"/>
        </w:rPr>
        <w:t>suggeriscono l'uso concomitante</w:t>
      </w:r>
      <w:r w:rsidRPr="00410E63">
        <w:rPr>
          <w:rFonts w:eastAsia="Times New Roman" w:cs="Times New Roman"/>
          <w:lang w:eastAsia="it-IT"/>
        </w:rPr>
        <w:t xml:space="preserve"> di </w:t>
      </w:r>
      <w:proofErr w:type="spellStart"/>
      <w:r w:rsidRPr="00410E63">
        <w:rPr>
          <w:rFonts w:eastAsia="Times New Roman" w:cs="Times New Roman"/>
          <w:lang w:eastAsia="it-IT"/>
        </w:rPr>
        <w:t>difenidramina</w:t>
      </w:r>
      <w:proofErr w:type="spellEnd"/>
      <w:r w:rsidRPr="00410E63">
        <w:rPr>
          <w:rFonts w:eastAsia="Times New Roman" w:cs="Times New Roman"/>
          <w:lang w:eastAsia="it-IT"/>
        </w:rPr>
        <w:t xml:space="preserve"> (</w:t>
      </w:r>
      <w:r w:rsidR="00712F65" w:rsidRPr="00410E63">
        <w:rPr>
          <w:rFonts w:eastAsia="Times New Roman" w:cs="Times New Roman"/>
          <w:lang w:eastAsia="it-IT"/>
        </w:rPr>
        <w:t xml:space="preserve">da 12.5 a 25 mg </w:t>
      </w:r>
      <w:proofErr w:type="spellStart"/>
      <w:r w:rsidR="00712F65" w:rsidRPr="00410E63">
        <w:rPr>
          <w:rFonts w:eastAsia="Times New Roman" w:cs="Times New Roman"/>
          <w:lang w:eastAsia="it-IT"/>
        </w:rPr>
        <w:t>ev</w:t>
      </w:r>
      <w:proofErr w:type="spellEnd"/>
      <w:r w:rsidRPr="00410E63">
        <w:rPr>
          <w:rFonts w:eastAsia="Times New Roman" w:cs="Times New Roman"/>
          <w:lang w:eastAsia="it-IT"/>
        </w:rPr>
        <w:t xml:space="preserve"> ogni ora fino a due dosi) per evitare </w:t>
      </w:r>
      <w:r w:rsidR="00712F65" w:rsidRPr="00410E63">
        <w:rPr>
          <w:rFonts w:eastAsia="Times New Roman" w:cs="Times New Roman"/>
          <w:lang w:eastAsia="it-IT"/>
        </w:rPr>
        <w:t xml:space="preserve">la comparsa di </w:t>
      </w:r>
      <w:proofErr w:type="spellStart"/>
      <w:r w:rsidRPr="00410E63">
        <w:rPr>
          <w:rFonts w:eastAsia="Times New Roman" w:cs="Times New Roman"/>
          <w:lang w:eastAsia="it-IT"/>
        </w:rPr>
        <w:t>acatisia</w:t>
      </w:r>
      <w:proofErr w:type="spellEnd"/>
      <w:r w:rsidRPr="00410E63">
        <w:rPr>
          <w:rFonts w:eastAsia="Times New Roman" w:cs="Times New Roman"/>
          <w:lang w:eastAsia="it-IT"/>
        </w:rPr>
        <w:t xml:space="preserve"> e altre rea</w:t>
      </w:r>
      <w:r w:rsidR="00712F65" w:rsidRPr="00410E63">
        <w:rPr>
          <w:rFonts w:eastAsia="Times New Roman" w:cs="Times New Roman"/>
          <w:lang w:eastAsia="it-IT"/>
        </w:rPr>
        <w:t>zioni distoniche.</w:t>
      </w:r>
    </w:p>
    <w:p w:rsidR="00410E63" w:rsidRPr="00410E63" w:rsidRDefault="00712F65" w:rsidP="00410E63">
      <w:pPr>
        <w:spacing w:line="360" w:lineRule="auto"/>
        <w:rPr>
          <w:rFonts w:eastAsia="Times New Roman" w:cs="Times New Roman"/>
          <w:lang w:eastAsia="it-IT"/>
        </w:rPr>
      </w:pPr>
      <w:r w:rsidRPr="00410E63">
        <w:rPr>
          <w:rFonts w:eastAsia="Times New Roman" w:cs="Times New Roman"/>
          <w:lang w:eastAsia="it-IT"/>
        </w:rPr>
        <w:t xml:space="preserve">Anche l’associazione </w:t>
      </w:r>
      <w:proofErr w:type="spellStart"/>
      <w:r w:rsidR="00A31F06" w:rsidRPr="00410E63">
        <w:rPr>
          <w:rFonts w:eastAsia="Times New Roman" w:cs="Times New Roman"/>
          <w:lang w:eastAsia="it-IT"/>
        </w:rPr>
        <w:t>Diidroerg</w:t>
      </w:r>
      <w:r w:rsidRPr="00410E63">
        <w:rPr>
          <w:rFonts w:eastAsia="Times New Roman" w:cs="Times New Roman"/>
          <w:lang w:eastAsia="it-IT"/>
        </w:rPr>
        <w:t>otamina</w:t>
      </w:r>
      <w:proofErr w:type="spellEnd"/>
      <w:r w:rsidRPr="00410E63">
        <w:rPr>
          <w:rFonts w:eastAsia="Times New Roman" w:cs="Times New Roman"/>
          <w:lang w:eastAsia="it-IT"/>
        </w:rPr>
        <w:t xml:space="preserve"> (DHE 45) 1 mg </w:t>
      </w:r>
      <w:proofErr w:type="spellStart"/>
      <w:r w:rsidRPr="00410E63">
        <w:rPr>
          <w:rFonts w:eastAsia="Times New Roman" w:cs="Times New Roman"/>
          <w:lang w:eastAsia="it-IT"/>
        </w:rPr>
        <w:t>ev</w:t>
      </w:r>
      <w:proofErr w:type="spellEnd"/>
      <w:r w:rsidRPr="00410E63">
        <w:rPr>
          <w:rFonts w:eastAsia="Times New Roman" w:cs="Times New Roman"/>
          <w:lang w:eastAsia="it-IT"/>
        </w:rPr>
        <w:t xml:space="preserve"> e </w:t>
      </w:r>
      <w:proofErr w:type="spellStart"/>
      <w:r w:rsidRPr="00410E63">
        <w:rPr>
          <w:rFonts w:eastAsia="Times New Roman" w:cs="Times New Roman"/>
          <w:lang w:eastAsia="it-IT"/>
        </w:rPr>
        <w:t>metoclopramide</w:t>
      </w:r>
      <w:proofErr w:type="spellEnd"/>
      <w:r w:rsidRPr="00410E63">
        <w:rPr>
          <w:rFonts w:eastAsia="Times New Roman" w:cs="Times New Roman"/>
          <w:lang w:eastAsia="it-IT"/>
        </w:rPr>
        <w:t xml:space="preserve"> 10 mg </w:t>
      </w:r>
      <w:proofErr w:type="spellStart"/>
      <w:r w:rsidRPr="00410E63">
        <w:rPr>
          <w:rFonts w:eastAsia="Times New Roman" w:cs="Times New Roman"/>
          <w:lang w:eastAsia="it-IT"/>
        </w:rPr>
        <w:t>ev</w:t>
      </w:r>
      <w:proofErr w:type="spellEnd"/>
      <w:r w:rsidRPr="00410E63">
        <w:rPr>
          <w:rFonts w:eastAsia="Times New Roman" w:cs="Times New Roman"/>
          <w:lang w:eastAsia="it-IT"/>
        </w:rPr>
        <w:t xml:space="preserve"> può essere</w:t>
      </w:r>
      <w:r w:rsidR="00A31F06" w:rsidRPr="00410E63">
        <w:rPr>
          <w:rFonts w:eastAsia="Times New Roman" w:cs="Times New Roman"/>
          <w:lang w:eastAsia="it-IT"/>
        </w:rPr>
        <w:t xml:space="preserve"> </w:t>
      </w:r>
      <w:r w:rsidRPr="00410E63">
        <w:rPr>
          <w:rFonts w:eastAsia="Times New Roman" w:cs="Times New Roman"/>
          <w:lang w:eastAsia="it-IT"/>
        </w:rPr>
        <w:t xml:space="preserve">una </w:t>
      </w:r>
      <w:r w:rsidR="00A31F06" w:rsidRPr="00410E63">
        <w:rPr>
          <w:rFonts w:eastAsia="Times New Roman" w:cs="Times New Roman"/>
          <w:lang w:eastAsia="it-IT"/>
        </w:rPr>
        <w:t>valid</w:t>
      </w:r>
      <w:r w:rsidRPr="00410E63">
        <w:rPr>
          <w:rFonts w:eastAsia="Times New Roman" w:cs="Times New Roman"/>
          <w:lang w:eastAsia="it-IT"/>
        </w:rPr>
        <w:t>a alternativa per la gestione</w:t>
      </w:r>
      <w:r w:rsidR="00A31F06" w:rsidRPr="00410E63">
        <w:rPr>
          <w:rFonts w:eastAsia="Times New Roman" w:cs="Times New Roman"/>
          <w:lang w:eastAsia="it-IT"/>
        </w:rPr>
        <w:t xml:space="preserve"> dell'e</w:t>
      </w:r>
      <w:r w:rsidRPr="00410E63">
        <w:rPr>
          <w:rFonts w:eastAsia="Times New Roman" w:cs="Times New Roman"/>
          <w:lang w:eastAsia="it-IT"/>
        </w:rPr>
        <w:t>micrania grave intrattabile</w:t>
      </w:r>
    </w:p>
    <w:p w:rsidR="00410E63" w:rsidRDefault="00712F65" w:rsidP="00410E63">
      <w:pPr>
        <w:spacing w:line="360" w:lineRule="auto"/>
        <w:rPr>
          <w:rFonts w:eastAsia="Times New Roman" w:cs="Times New Roman"/>
          <w:lang w:eastAsia="it-IT"/>
        </w:rPr>
      </w:pPr>
      <w:r w:rsidRPr="00410E63">
        <w:rPr>
          <w:rFonts w:eastAsia="Times New Roman" w:cs="Times New Roman"/>
          <w:lang w:eastAsia="it-IT"/>
        </w:rPr>
        <w:t xml:space="preserve">Il </w:t>
      </w:r>
      <w:r w:rsidR="00A31F06" w:rsidRPr="00410E63">
        <w:rPr>
          <w:rFonts w:eastAsia="Times New Roman" w:cs="Times New Roman"/>
          <w:lang w:eastAsia="it-IT"/>
        </w:rPr>
        <w:t>trattamento aggiuntivo co</w:t>
      </w:r>
      <w:r w:rsidRPr="00410E63">
        <w:rPr>
          <w:rFonts w:eastAsia="Times New Roman" w:cs="Times New Roman"/>
          <w:lang w:eastAsia="it-IT"/>
        </w:rPr>
        <w:t xml:space="preserve">n </w:t>
      </w:r>
      <w:proofErr w:type="spellStart"/>
      <w:r w:rsidRPr="00410E63">
        <w:rPr>
          <w:rFonts w:eastAsia="Times New Roman" w:cs="Times New Roman"/>
          <w:lang w:eastAsia="it-IT"/>
        </w:rPr>
        <w:t>desametasone</w:t>
      </w:r>
      <w:proofErr w:type="spellEnd"/>
      <w:r w:rsidRPr="00410E63">
        <w:rPr>
          <w:rFonts w:eastAsia="Times New Roman" w:cs="Times New Roman"/>
          <w:lang w:eastAsia="it-IT"/>
        </w:rPr>
        <w:t xml:space="preserve"> (da 10 a 25 mg EV o IM) riduce</w:t>
      </w:r>
      <w:r w:rsidR="00A31F06" w:rsidRPr="00410E63">
        <w:rPr>
          <w:rFonts w:eastAsia="Times New Roman" w:cs="Times New Roman"/>
          <w:lang w:eastAsia="it-IT"/>
        </w:rPr>
        <w:t xml:space="preserve"> il rischio di rec</w:t>
      </w:r>
      <w:r w:rsidRPr="00410E63">
        <w:rPr>
          <w:rFonts w:eastAsia="Times New Roman" w:cs="Times New Roman"/>
          <w:lang w:eastAsia="it-IT"/>
        </w:rPr>
        <w:t>idiva precoce del</w:t>
      </w:r>
      <w:r w:rsidR="00410E63" w:rsidRPr="00410E63">
        <w:rPr>
          <w:rFonts w:eastAsia="Times New Roman" w:cs="Times New Roman"/>
          <w:lang w:eastAsia="it-IT"/>
        </w:rPr>
        <w:t>la cefalea</w:t>
      </w:r>
      <w:r w:rsidR="00410E63">
        <w:rPr>
          <w:rFonts w:eastAsia="Times New Roman" w:cs="Times New Roman"/>
          <w:lang w:eastAsia="it-IT"/>
        </w:rPr>
        <w:t>.</w:t>
      </w:r>
    </w:p>
    <w:p w:rsidR="00410E63" w:rsidRDefault="00410E63" w:rsidP="00410E63">
      <w:pPr>
        <w:spacing w:line="360" w:lineRule="auto"/>
        <w:rPr>
          <w:rFonts w:eastAsia="Times New Roman" w:cs="Times New Roman"/>
          <w:lang w:eastAsia="it-IT"/>
        </w:rPr>
      </w:pPr>
      <w:r>
        <w:rPr>
          <w:rFonts w:eastAsia="Times New Roman" w:cs="Times New Roman"/>
          <w:lang w:eastAsia="it-IT"/>
        </w:rPr>
        <w:lastRenderedPageBreak/>
        <w:t>BIBLIOGAFIA</w:t>
      </w:r>
    </w:p>
    <w:p w:rsidR="00410E63" w:rsidRPr="00C05EFD" w:rsidRDefault="00410E63" w:rsidP="00410E63">
      <w:pPr>
        <w:pStyle w:val="Paragrafoelenco"/>
        <w:numPr>
          <w:ilvl w:val="0"/>
          <w:numId w:val="4"/>
        </w:numPr>
        <w:spacing w:line="360" w:lineRule="auto"/>
        <w:rPr>
          <w:i/>
        </w:rPr>
      </w:pPr>
      <w:r>
        <w:t>Granella</w:t>
      </w:r>
      <w:r w:rsidR="00C33D7E">
        <w:t xml:space="preserve"> F</w:t>
      </w:r>
      <w:r>
        <w:t xml:space="preserve">, </w:t>
      </w:r>
      <w:proofErr w:type="spellStart"/>
      <w:r>
        <w:t>Prudenzano</w:t>
      </w:r>
      <w:proofErr w:type="spellEnd"/>
      <w:r w:rsidR="00C33D7E">
        <w:t xml:space="preserve"> </w:t>
      </w:r>
      <w:proofErr w:type="spellStart"/>
      <w:r w:rsidR="00C33D7E">
        <w:t>M.P</w:t>
      </w:r>
      <w:proofErr w:type="spellEnd"/>
      <w:r>
        <w:t xml:space="preserve">, </w:t>
      </w:r>
      <w:r w:rsidRPr="00410E63">
        <w:t>Sarchielli</w:t>
      </w:r>
      <w:r w:rsidR="00C33D7E">
        <w:t xml:space="preserve"> P.</w:t>
      </w:r>
      <w:r>
        <w:t xml:space="preserve"> </w:t>
      </w:r>
      <w:r w:rsidR="00C05EFD">
        <w:t xml:space="preserve">(a cura di), </w:t>
      </w:r>
      <w:r w:rsidR="00C05EFD" w:rsidRPr="00C05EFD">
        <w:rPr>
          <w:i/>
        </w:rPr>
        <w:t>Linee guida per la diagnosi e la terapia delle cefalee primarie</w:t>
      </w:r>
      <w:r w:rsidR="00C05EFD">
        <w:rPr>
          <w:i/>
        </w:rPr>
        <w:t xml:space="preserve">. </w:t>
      </w:r>
      <w:r w:rsidR="00C05EFD">
        <w:t>Roberto Calzetti Editore 2011. 18-109.</w:t>
      </w:r>
    </w:p>
    <w:p w:rsidR="00C05EFD" w:rsidRPr="00C33D7E" w:rsidRDefault="00C33D7E" w:rsidP="00410E63">
      <w:pPr>
        <w:pStyle w:val="Paragrafoelenco"/>
        <w:numPr>
          <w:ilvl w:val="0"/>
          <w:numId w:val="4"/>
        </w:numPr>
        <w:spacing w:line="360" w:lineRule="auto"/>
        <w:rPr>
          <w:i/>
        </w:rPr>
      </w:pPr>
      <w:proofErr w:type="spellStart"/>
      <w:r w:rsidRPr="00C33D7E">
        <w:t>Zahid</w:t>
      </w:r>
      <w:proofErr w:type="spellEnd"/>
      <w:r w:rsidRPr="00C33D7E">
        <w:t xml:space="preserve"> H </w:t>
      </w:r>
      <w:proofErr w:type="spellStart"/>
      <w:r w:rsidRPr="00C33D7E">
        <w:t>Bajwa</w:t>
      </w:r>
      <w:proofErr w:type="spellEnd"/>
      <w:r w:rsidRPr="00C33D7E">
        <w:t>, Jonathan H Smith.</w:t>
      </w:r>
      <w:r>
        <w:rPr>
          <w:i/>
        </w:rPr>
        <w:t xml:space="preserve"> </w:t>
      </w:r>
      <w:r w:rsidRPr="00C33D7E">
        <w:rPr>
          <w:i/>
        </w:rPr>
        <w:t xml:space="preserve">Acute treatment </w:t>
      </w:r>
      <w:proofErr w:type="spellStart"/>
      <w:r w:rsidRPr="00C33D7E">
        <w:rPr>
          <w:i/>
        </w:rPr>
        <w:t>of</w:t>
      </w:r>
      <w:proofErr w:type="spellEnd"/>
      <w:r w:rsidRPr="00C33D7E">
        <w:rPr>
          <w:i/>
        </w:rPr>
        <w:t xml:space="preserve"> </w:t>
      </w:r>
      <w:proofErr w:type="spellStart"/>
      <w:r w:rsidRPr="00C33D7E">
        <w:rPr>
          <w:i/>
        </w:rPr>
        <w:t>migraine</w:t>
      </w:r>
      <w:proofErr w:type="spellEnd"/>
      <w:r w:rsidRPr="00C33D7E">
        <w:rPr>
          <w:i/>
        </w:rPr>
        <w:t xml:space="preserve"> in </w:t>
      </w:r>
      <w:proofErr w:type="spellStart"/>
      <w:r w:rsidRPr="00C33D7E">
        <w:rPr>
          <w:i/>
        </w:rPr>
        <w:t>adults</w:t>
      </w:r>
      <w:proofErr w:type="spellEnd"/>
      <w:r>
        <w:rPr>
          <w:i/>
        </w:rPr>
        <w:t xml:space="preserve">. </w:t>
      </w:r>
      <w:r>
        <w:t>Uptodate 2016.</w:t>
      </w:r>
    </w:p>
    <w:p w:rsidR="00C33D7E" w:rsidRPr="00C33D7E" w:rsidRDefault="00C33D7E" w:rsidP="00C33D7E">
      <w:pPr>
        <w:pStyle w:val="Paragrafoelenco"/>
        <w:numPr>
          <w:ilvl w:val="0"/>
          <w:numId w:val="4"/>
        </w:numPr>
        <w:spacing w:line="360" w:lineRule="auto"/>
        <w:rPr>
          <w:i/>
        </w:rPr>
      </w:pPr>
      <w:proofErr w:type="spellStart"/>
      <w:r w:rsidRPr="00C33D7E">
        <w:t>Zahid</w:t>
      </w:r>
      <w:proofErr w:type="spellEnd"/>
      <w:r w:rsidRPr="00C33D7E">
        <w:t xml:space="preserve"> H </w:t>
      </w:r>
      <w:proofErr w:type="spellStart"/>
      <w:r w:rsidRPr="00C33D7E">
        <w:t>Bajwa</w:t>
      </w:r>
      <w:proofErr w:type="spellEnd"/>
      <w:r w:rsidRPr="00C33D7E">
        <w:t>, Jonathan H Smith</w:t>
      </w:r>
      <w:r>
        <w:rPr>
          <w:i/>
        </w:rPr>
        <w:t xml:space="preserve">. </w:t>
      </w:r>
      <w:r w:rsidRPr="00C33D7E">
        <w:rPr>
          <w:i/>
        </w:rPr>
        <w:t xml:space="preserve">Preventive treatment </w:t>
      </w:r>
      <w:proofErr w:type="spellStart"/>
      <w:r w:rsidRPr="00C33D7E">
        <w:rPr>
          <w:i/>
        </w:rPr>
        <w:t>of</w:t>
      </w:r>
      <w:proofErr w:type="spellEnd"/>
      <w:r w:rsidRPr="00C33D7E">
        <w:rPr>
          <w:i/>
        </w:rPr>
        <w:t xml:space="preserve"> </w:t>
      </w:r>
      <w:proofErr w:type="spellStart"/>
      <w:r w:rsidRPr="00C33D7E">
        <w:rPr>
          <w:i/>
        </w:rPr>
        <w:t>migraine</w:t>
      </w:r>
      <w:proofErr w:type="spellEnd"/>
      <w:r w:rsidRPr="00C33D7E">
        <w:rPr>
          <w:i/>
        </w:rPr>
        <w:t xml:space="preserve"> in </w:t>
      </w:r>
      <w:proofErr w:type="spellStart"/>
      <w:r w:rsidRPr="00C33D7E">
        <w:rPr>
          <w:i/>
        </w:rPr>
        <w:t>adults</w:t>
      </w:r>
      <w:proofErr w:type="spellEnd"/>
      <w:r>
        <w:rPr>
          <w:i/>
        </w:rPr>
        <w:t xml:space="preserve">. </w:t>
      </w:r>
      <w:r>
        <w:t>Uptodate 2016.</w:t>
      </w:r>
    </w:p>
    <w:sectPr w:rsidR="00C33D7E" w:rsidRPr="00C33D7E" w:rsidSect="00C1557F">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B63168"/>
    <w:multiLevelType w:val="hybridMultilevel"/>
    <w:tmpl w:val="6218B61E"/>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nsid w:val="5FFD2C50"/>
    <w:multiLevelType w:val="hybridMultilevel"/>
    <w:tmpl w:val="4C9417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64933713"/>
    <w:multiLevelType w:val="hybridMultilevel"/>
    <w:tmpl w:val="AD22628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68821A3D"/>
    <w:multiLevelType w:val="hybridMultilevel"/>
    <w:tmpl w:val="B4F462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283"/>
  <w:characterSpacingControl w:val="doNotCompress"/>
  <w:compat/>
  <w:rsids>
    <w:rsidRoot w:val="007C4BA6"/>
    <w:rsid w:val="000E581A"/>
    <w:rsid w:val="001267E2"/>
    <w:rsid w:val="00144752"/>
    <w:rsid w:val="001A6C79"/>
    <w:rsid w:val="001E1AA8"/>
    <w:rsid w:val="00204293"/>
    <w:rsid w:val="002E0D74"/>
    <w:rsid w:val="002F7169"/>
    <w:rsid w:val="003111AB"/>
    <w:rsid w:val="00315DB8"/>
    <w:rsid w:val="003171AC"/>
    <w:rsid w:val="00373BEB"/>
    <w:rsid w:val="00410E63"/>
    <w:rsid w:val="004B0F06"/>
    <w:rsid w:val="004C64C8"/>
    <w:rsid w:val="00502F0F"/>
    <w:rsid w:val="005060BA"/>
    <w:rsid w:val="00560B84"/>
    <w:rsid w:val="005839C7"/>
    <w:rsid w:val="005B3C57"/>
    <w:rsid w:val="00643DC2"/>
    <w:rsid w:val="006754E2"/>
    <w:rsid w:val="0069673F"/>
    <w:rsid w:val="006C34A1"/>
    <w:rsid w:val="00712F65"/>
    <w:rsid w:val="00756BA6"/>
    <w:rsid w:val="007B1053"/>
    <w:rsid w:val="007C4BA6"/>
    <w:rsid w:val="007D6AB7"/>
    <w:rsid w:val="00836588"/>
    <w:rsid w:val="00864A45"/>
    <w:rsid w:val="008E5847"/>
    <w:rsid w:val="00942835"/>
    <w:rsid w:val="00943EC6"/>
    <w:rsid w:val="009459C5"/>
    <w:rsid w:val="0097589F"/>
    <w:rsid w:val="009D514F"/>
    <w:rsid w:val="00A31F06"/>
    <w:rsid w:val="00A72B50"/>
    <w:rsid w:val="00AA4247"/>
    <w:rsid w:val="00B143AD"/>
    <w:rsid w:val="00B504DE"/>
    <w:rsid w:val="00C05EFD"/>
    <w:rsid w:val="00C1557F"/>
    <w:rsid w:val="00C33D7E"/>
    <w:rsid w:val="00C94CBF"/>
    <w:rsid w:val="00CE31DC"/>
    <w:rsid w:val="00D118E6"/>
    <w:rsid w:val="00D6516C"/>
    <w:rsid w:val="00D9782D"/>
    <w:rsid w:val="00EA57C8"/>
    <w:rsid w:val="00EE1FD0"/>
    <w:rsid w:val="00EE3D16"/>
    <w:rsid w:val="00F52EF6"/>
    <w:rsid w:val="00FA70E6"/>
    <w:rsid w:val="00FC17F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1557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60B84"/>
    <w:pPr>
      <w:ind w:left="720"/>
      <w:contextualSpacing/>
    </w:pPr>
  </w:style>
  <w:style w:type="paragraph" w:styleId="Iniziomodulo-z">
    <w:name w:val="HTML Top of Form"/>
    <w:basedOn w:val="Normale"/>
    <w:next w:val="Normale"/>
    <w:link w:val="Iniziomodulo-zCarattere"/>
    <w:hidden/>
    <w:uiPriority w:val="99"/>
    <w:semiHidden/>
    <w:unhideWhenUsed/>
    <w:rsid w:val="00942835"/>
    <w:pPr>
      <w:pBdr>
        <w:bottom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Iniziomodulo-zCarattere">
    <w:name w:val="Inizio modulo -z Carattere"/>
    <w:basedOn w:val="Carpredefinitoparagrafo"/>
    <w:link w:val="Iniziomodulo-z"/>
    <w:uiPriority w:val="99"/>
    <w:semiHidden/>
    <w:rsid w:val="00942835"/>
    <w:rPr>
      <w:rFonts w:ascii="Arial" w:eastAsia="Times New Roman" w:hAnsi="Arial" w:cs="Arial"/>
      <w:vanish/>
      <w:sz w:val="16"/>
      <w:szCs w:val="16"/>
      <w:lang w:eastAsia="it-IT"/>
    </w:rPr>
  </w:style>
  <w:style w:type="character" w:customStyle="1" w:styleId="gt-ft-text">
    <w:name w:val="gt-ft-text"/>
    <w:basedOn w:val="Carpredefinitoparagrafo"/>
    <w:rsid w:val="00942835"/>
  </w:style>
  <w:style w:type="character" w:styleId="Collegamentoipertestuale">
    <w:name w:val="Hyperlink"/>
    <w:basedOn w:val="Carpredefinitoparagrafo"/>
    <w:uiPriority w:val="99"/>
    <w:semiHidden/>
    <w:unhideWhenUsed/>
    <w:rsid w:val="00942835"/>
    <w:rPr>
      <w:color w:val="0000FF"/>
      <w:u w:val="single"/>
    </w:rPr>
  </w:style>
  <w:style w:type="paragraph" w:styleId="Finemodulo-z">
    <w:name w:val="HTML Bottom of Form"/>
    <w:basedOn w:val="Normale"/>
    <w:next w:val="Normale"/>
    <w:link w:val="Finemodulo-zCarattere"/>
    <w:hidden/>
    <w:uiPriority w:val="99"/>
    <w:semiHidden/>
    <w:unhideWhenUsed/>
    <w:rsid w:val="00942835"/>
    <w:pPr>
      <w:pBdr>
        <w:top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Finemodulo-zCarattere">
    <w:name w:val="Fine modulo -z Carattere"/>
    <w:basedOn w:val="Carpredefinitoparagrafo"/>
    <w:link w:val="Finemodulo-z"/>
    <w:uiPriority w:val="99"/>
    <w:semiHidden/>
    <w:rsid w:val="00942835"/>
    <w:rPr>
      <w:rFonts w:ascii="Arial" w:eastAsia="Times New Roman" w:hAnsi="Arial" w:cs="Arial"/>
      <w:vanish/>
      <w:sz w:val="16"/>
      <w:szCs w:val="16"/>
      <w:lang w:eastAsia="it-IT"/>
    </w:rPr>
  </w:style>
</w:styles>
</file>

<file path=word/webSettings.xml><?xml version="1.0" encoding="utf-8"?>
<w:webSettings xmlns:r="http://schemas.openxmlformats.org/officeDocument/2006/relationships" xmlns:w="http://schemas.openxmlformats.org/wordprocessingml/2006/main">
  <w:divs>
    <w:div w:id="178353638">
      <w:bodyDiv w:val="1"/>
      <w:marLeft w:val="0"/>
      <w:marRight w:val="0"/>
      <w:marTop w:val="0"/>
      <w:marBottom w:val="0"/>
      <w:divBdr>
        <w:top w:val="none" w:sz="0" w:space="0" w:color="auto"/>
        <w:left w:val="none" w:sz="0" w:space="0" w:color="auto"/>
        <w:bottom w:val="none" w:sz="0" w:space="0" w:color="auto"/>
        <w:right w:val="none" w:sz="0" w:space="0" w:color="auto"/>
      </w:divBdr>
      <w:divsChild>
        <w:div w:id="30620148">
          <w:marLeft w:val="0"/>
          <w:marRight w:val="0"/>
          <w:marTop w:val="0"/>
          <w:marBottom w:val="0"/>
          <w:divBdr>
            <w:top w:val="none" w:sz="0" w:space="0" w:color="auto"/>
            <w:left w:val="none" w:sz="0" w:space="0" w:color="auto"/>
            <w:bottom w:val="none" w:sz="0" w:space="0" w:color="auto"/>
            <w:right w:val="none" w:sz="0" w:space="0" w:color="auto"/>
          </w:divBdr>
          <w:divsChild>
            <w:div w:id="1984193029">
              <w:marLeft w:val="0"/>
              <w:marRight w:val="0"/>
              <w:marTop w:val="0"/>
              <w:marBottom w:val="0"/>
              <w:divBdr>
                <w:top w:val="none" w:sz="0" w:space="0" w:color="auto"/>
                <w:left w:val="none" w:sz="0" w:space="0" w:color="auto"/>
                <w:bottom w:val="none" w:sz="0" w:space="0" w:color="auto"/>
                <w:right w:val="none" w:sz="0" w:space="0" w:color="auto"/>
              </w:divBdr>
            </w:div>
          </w:divsChild>
        </w:div>
        <w:div w:id="1382442809">
          <w:marLeft w:val="0"/>
          <w:marRight w:val="0"/>
          <w:marTop w:val="0"/>
          <w:marBottom w:val="0"/>
          <w:divBdr>
            <w:top w:val="none" w:sz="0" w:space="0" w:color="auto"/>
            <w:left w:val="none" w:sz="0" w:space="0" w:color="auto"/>
            <w:bottom w:val="none" w:sz="0" w:space="0" w:color="auto"/>
            <w:right w:val="none" w:sz="0" w:space="0" w:color="auto"/>
          </w:divBdr>
          <w:divsChild>
            <w:div w:id="1662924919">
              <w:marLeft w:val="0"/>
              <w:marRight w:val="0"/>
              <w:marTop w:val="0"/>
              <w:marBottom w:val="0"/>
              <w:divBdr>
                <w:top w:val="none" w:sz="0" w:space="0" w:color="auto"/>
                <w:left w:val="none" w:sz="0" w:space="0" w:color="auto"/>
                <w:bottom w:val="none" w:sz="0" w:space="0" w:color="auto"/>
                <w:right w:val="none" w:sz="0" w:space="0" w:color="auto"/>
              </w:divBdr>
              <w:divsChild>
                <w:div w:id="1610968431">
                  <w:marLeft w:val="0"/>
                  <w:marRight w:val="0"/>
                  <w:marTop w:val="0"/>
                  <w:marBottom w:val="0"/>
                  <w:divBdr>
                    <w:top w:val="none" w:sz="0" w:space="0" w:color="auto"/>
                    <w:left w:val="none" w:sz="0" w:space="0" w:color="auto"/>
                    <w:bottom w:val="none" w:sz="0" w:space="0" w:color="auto"/>
                    <w:right w:val="none" w:sz="0" w:space="0" w:color="auto"/>
                  </w:divBdr>
                  <w:divsChild>
                    <w:div w:id="1182861405">
                      <w:marLeft w:val="0"/>
                      <w:marRight w:val="0"/>
                      <w:marTop w:val="0"/>
                      <w:marBottom w:val="0"/>
                      <w:divBdr>
                        <w:top w:val="none" w:sz="0" w:space="0" w:color="auto"/>
                        <w:left w:val="none" w:sz="0" w:space="0" w:color="auto"/>
                        <w:bottom w:val="none" w:sz="0" w:space="0" w:color="auto"/>
                        <w:right w:val="none" w:sz="0" w:space="0" w:color="auto"/>
                      </w:divBdr>
                      <w:divsChild>
                        <w:div w:id="64685308">
                          <w:marLeft w:val="0"/>
                          <w:marRight w:val="0"/>
                          <w:marTop w:val="0"/>
                          <w:marBottom w:val="0"/>
                          <w:divBdr>
                            <w:top w:val="none" w:sz="0" w:space="0" w:color="auto"/>
                            <w:left w:val="none" w:sz="0" w:space="0" w:color="auto"/>
                            <w:bottom w:val="none" w:sz="0" w:space="0" w:color="auto"/>
                            <w:right w:val="none" w:sz="0" w:space="0" w:color="auto"/>
                          </w:divBdr>
                          <w:divsChild>
                            <w:div w:id="750858590">
                              <w:marLeft w:val="0"/>
                              <w:marRight w:val="0"/>
                              <w:marTop w:val="0"/>
                              <w:marBottom w:val="0"/>
                              <w:divBdr>
                                <w:top w:val="none" w:sz="0" w:space="0" w:color="auto"/>
                                <w:left w:val="none" w:sz="0" w:space="0" w:color="auto"/>
                                <w:bottom w:val="none" w:sz="0" w:space="0" w:color="auto"/>
                                <w:right w:val="none" w:sz="0" w:space="0" w:color="auto"/>
                              </w:divBdr>
                              <w:divsChild>
                                <w:div w:id="155812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7015335">
      <w:bodyDiv w:val="1"/>
      <w:marLeft w:val="0"/>
      <w:marRight w:val="0"/>
      <w:marTop w:val="0"/>
      <w:marBottom w:val="0"/>
      <w:divBdr>
        <w:top w:val="none" w:sz="0" w:space="0" w:color="auto"/>
        <w:left w:val="none" w:sz="0" w:space="0" w:color="auto"/>
        <w:bottom w:val="none" w:sz="0" w:space="0" w:color="auto"/>
        <w:right w:val="none" w:sz="0" w:space="0" w:color="auto"/>
      </w:divBdr>
      <w:divsChild>
        <w:div w:id="1159233219">
          <w:marLeft w:val="0"/>
          <w:marRight w:val="0"/>
          <w:marTop w:val="0"/>
          <w:marBottom w:val="0"/>
          <w:divBdr>
            <w:top w:val="none" w:sz="0" w:space="0" w:color="auto"/>
            <w:left w:val="none" w:sz="0" w:space="0" w:color="auto"/>
            <w:bottom w:val="none" w:sz="0" w:space="0" w:color="auto"/>
            <w:right w:val="none" w:sz="0" w:space="0" w:color="auto"/>
          </w:divBdr>
        </w:div>
        <w:div w:id="1698653072">
          <w:marLeft w:val="0"/>
          <w:marRight w:val="0"/>
          <w:marTop w:val="0"/>
          <w:marBottom w:val="0"/>
          <w:divBdr>
            <w:top w:val="none" w:sz="0" w:space="0" w:color="auto"/>
            <w:left w:val="none" w:sz="0" w:space="0" w:color="auto"/>
            <w:bottom w:val="none" w:sz="0" w:space="0" w:color="auto"/>
            <w:right w:val="none" w:sz="0" w:space="0" w:color="auto"/>
          </w:divBdr>
          <w:divsChild>
            <w:div w:id="730883642">
              <w:marLeft w:val="0"/>
              <w:marRight w:val="0"/>
              <w:marTop w:val="0"/>
              <w:marBottom w:val="0"/>
              <w:divBdr>
                <w:top w:val="none" w:sz="0" w:space="0" w:color="auto"/>
                <w:left w:val="none" w:sz="0" w:space="0" w:color="auto"/>
                <w:bottom w:val="none" w:sz="0" w:space="0" w:color="auto"/>
                <w:right w:val="none" w:sz="0" w:space="0" w:color="auto"/>
              </w:divBdr>
              <w:divsChild>
                <w:div w:id="1542864171">
                  <w:marLeft w:val="0"/>
                  <w:marRight w:val="0"/>
                  <w:marTop w:val="0"/>
                  <w:marBottom w:val="0"/>
                  <w:divBdr>
                    <w:top w:val="none" w:sz="0" w:space="0" w:color="auto"/>
                    <w:left w:val="none" w:sz="0" w:space="0" w:color="auto"/>
                    <w:bottom w:val="none" w:sz="0" w:space="0" w:color="auto"/>
                    <w:right w:val="none" w:sz="0" w:space="0" w:color="auto"/>
                  </w:divBdr>
                  <w:divsChild>
                    <w:div w:id="404882495">
                      <w:marLeft w:val="0"/>
                      <w:marRight w:val="0"/>
                      <w:marTop w:val="0"/>
                      <w:marBottom w:val="0"/>
                      <w:divBdr>
                        <w:top w:val="none" w:sz="0" w:space="0" w:color="auto"/>
                        <w:left w:val="none" w:sz="0" w:space="0" w:color="auto"/>
                        <w:bottom w:val="none" w:sz="0" w:space="0" w:color="auto"/>
                        <w:right w:val="none" w:sz="0" w:space="0" w:color="auto"/>
                      </w:divBdr>
                      <w:divsChild>
                        <w:div w:id="905266445">
                          <w:marLeft w:val="0"/>
                          <w:marRight w:val="0"/>
                          <w:marTop w:val="0"/>
                          <w:marBottom w:val="0"/>
                          <w:divBdr>
                            <w:top w:val="none" w:sz="0" w:space="0" w:color="auto"/>
                            <w:left w:val="none" w:sz="0" w:space="0" w:color="auto"/>
                            <w:bottom w:val="none" w:sz="0" w:space="0" w:color="auto"/>
                            <w:right w:val="none" w:sz="0" w:space="0" w:color="auto"/>
                          </w:divBdr>
                          <w:divsChild>
                            <w:div w:id="94654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9110523">
      <w:bodyDiv w:val="1"/>
      <w:marLeft w:val="0"/>
      <w:marRight w:val="0"/>
      <w:marTop w:val="0"/>
      <w:marBottom w:val="0"/>
      <w:divBdr>
        <w:top w:val="none" w:sz="0" w:space="0" w:color="auto"/>
        <w:left w:val="none" w:sz="0" w:space="0" w:color="auto"/>
        <w:bottom w:val="none" w:sz="0" w:space="0" w:color="auto"/>
        <w:right w:val="none" w:sz="0" w:space="0" w:color="auto"/>
      </w:divBdr>
      <w:divsChild>
        <w:div w:id="177931562">
          <w:marLeft w:val="0"/>
          <w:marRight w:val="0"/>
          <w:marTop w:val="0"/>
          <w:marBottom w:val="0"/>
          <w:divBdr>
            <w:top w:val="none" w:sz="0" w:space="0" w:color="auto"/>
            <w:left w:val="none" w:sz="0" w:space="0" w:color="auto"/>
            <w:bottom w:val="none" w:sz="0" w:space="0" w:color="auto"/>
            <w:right w:val="none" w:sz="0" w:space="0" w:color="auto"/>
          </w:divBdr>
        </w:div>
        <w:div w:id="571701675">
          <w:marLeft w:val="0"/>
          <w:marRight w:val="0"/>
          <w:marTop w:val="0"/>
          <w:marBottom w:val="0"/>
          <w:divBdr>
            <w:top w:val="none" w:sz="0" w:space="0" w:color="auto"/>
            <w:left w:val="none" w:sz="0" w:space="0" w:color="auto"/>
            <w:bottom w:val="none" w:sz="0" w:space="0" w:color="auto"/>
            <w:right w:val="none" w:sz="0" w:space="0" w:color="auto"/>
          </w:divBdr>
          <w:divsChild>
            <w:div w:id="664284140">
              <w:marLeft w:val="0"/>
              <w:marRight w:val="0"/>
              <w:marTop w:val="0"/>
              <w:marBottom w:val="0"/>
              <w:divBdr>
                <w:top w:val="none" w:sz="0" w:space="0" w:color="auto"/>
                <w:left w:val="none" w:sz="0" w:space="0" w:color="auto"/>
                <w:bottom w:val="none" w:sz="0" w:space="0" w:color="auto"/>
                <w:right w:val="none" w:sz="0" w:space="0" w:color="auto"/>
              </w:divBdr>
              <w:divsChild>
                <w:div w:id="408115107">
                  <w:marLeft w:val="0"/>
                  <w:marRight w:val="0"/>
                  <w:marTop w:val="0"/>
                  <w:marBottom w:val="0"/>
                  <w:divBdr>
                    <w:top w:val="none" w:sz="0" w:space="0" w:color="auto"/>
                    <w:left w:val="none" w:sz="0" w:space="0" w:color="auto"/>
                    <w:bottom w:val="none" w:sz="0" w:space="0" w:color="auto"/>
                    <w:right w:val="none" w:sz="0" w:space="0" w:color="auto"/>
                  </w:divBdr>
                  <w:divsChild>
                    <w:div w:id="10299262">
                      <w:marLeft w:val="0"/>
                      <w:marRight w:val="0"/>
                      <w:marTop w:val="0"/>
                      <w:marBottom w:val="0"/>
                      <w:divBdr>
                        <w:top w:val="none" w:sz="0" w:space="0" w:color="auto"/>
                        <w:left w:val="none" w:sz="0" w:space="0" w:color="auto"/>
                        <w:bottom w:val="none" w:sz="0" w:space="0" w:color="auto"/>
                        <w:right w:val="none" w:sz="0" w:space="0" w:color="auto"/>
                      </w:divBdr>
                      <w:divsChild>
                        <w:div w:id="958026201">
                          <w:marLeft w:val="0"/>
                          <w:marRight w:val="0"/>
                          <w:marTop w:val="0"/>
                          <w:marBottom w:val="0"/>
                          <w:divBdr>
                            <w:top w:val="none" w:sz="0" w:space="0" w:color="auto"/>
                            <w:left w:val="none" w:sz="0" w:space="0" w:color="auto"/>
                            <w:bottom w:val="none" w:sz="0" w:space="0" w:color="auto"/>
                            <w:right w:val="none" w:sz="0" w:space="0" w:color="auto"/>
                          </w:divBdr>
                          <w:divsChild>
                            <w:div w:id="34960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3554683">
      <w:bodyDiv w:val="1"/>
      <w:marLeft w:val="0"/>
      <w:marRight w:val="0"/>
      <w:marTop w:val="0"/>
      <w:marBottom w:val="0"/>
      <w:divBdr>
        <w:top w:val="none" w:sz="0" w:space="0" w:color="auto"/>
        <w:left w:val="none" w:sz="0" w:space="0" w:color="auto"/>
        <w:bottom w:val="none" w:sz="0" w:space="0" w:color="auto"/>
        <w:right w:val="none" w:sz="0" w:space="0" w:color="auto"/>
      </w:divBdr>
      <w:divsChild>
        <w:div w:id="1282371855">
          <w:marLeft w:val="0"/>
          <w:marRight w:val="0"/>
          <w:marTop w:val="0"/>
          <w:marBottom w:val="0"/>
          <w:divBdr>
            <w:top w:val="none" w:sz="0" w:space="0" w:color="auto"/>
            <w:left w:val="none" w:sz="0" w:space="0" w:color="auto"/>
            <w:bottom w:val="none" w:sz="0" w:space="0" w:color="auto"/>
            <w:right w:val="none" w:sz="0" w:space="0" w:color="auto"/>
          </w:divBdr>
          <w:divsChild>
            <w:div w:id="167703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975150">
      <w:bodyDiv w:val="1"/>
      <w:marLeft w:val="0"/>
      <w:marRight w:val="0"/>
      <w:marTop w:val="0"/>
      <w:marBottom w:val="0"/>
      <w:divBdr>
        <w:top w:val="none" w:sz="0" w:space="0" w:color="auto"/>
        <w:left w:val="none" w:sz="0" w:space="0" w:color="auto"/>
        <w:bottom w:val="none" w:sz="0" w:space="0" w:color="auto"/>
        <w:right w:val="none" w:sz="0" w:space="0" w:color="auto"/>
      </w:divBdr>
      <w:divsChild>
        <w:div w:id="1596357267">
          <w:marLeft w:val="0"/>
          <w:marRight w:val="0"/>
          <w:marTop w:val="0"/>
          <w:marBottom w:val="0"/>
          <w:divBdr>
            <w:top w:val="none" w:sz="0" w:space="0" w:color="auto"/>
            <w:left w:val="none" w:sz="0" w:space="0" w:color="auto"/>
            <w:bottom w:val="none" w:sz="0" w:space="0" w:color="auto"/>
            <w:right w:val="none" w:sz="0" w:space="0" w:color="auto"/>
          </w:divBdr>
          <w:divsChild>
            <w:div w:id="126792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913</TotalTime>
  <Pages>1</Pages>
  <Words>3644</Words>
  <Characters>20774</Characters>
  <Application>Microsoft Office Word</Application>
  <DocSecurity>0</DocSecurity>
  <Lines>173</Lines>
  <Paragraphs>48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Novella Ceretti</dc:creator>
  <cp:lastModifiedBy>Novella Ceretti</cp:lastModifiedBy>
  <cp:revision>18</cp:revision>
  <cp:lastPrinted>2016-09-03T09:00:00Z</cp:lastPrinted>
  <dcterms:created xsi:type="dcterms:W3CDTF">2016-05-21T12:39:00Z</dcterms:created>
  <dcterms:modified xsi:type="dcterms:W3CDTF">2016-09-03T09:00:00Z</dcterms:modified>
</cp:coreProperties>
</file>