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E3" w:rsidRPr="005054CA" w:rsidRDefault="00A116E3" w:rsidP="005054CA">
      <w:pPr>
        <w:spacing w:after="1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REGIONE EMILIA ROMAGNA</w:t>
      </w:r>
    </w:p>
    <w:p w:rsidR="000010EC" w:rsidRPr="005054CA" w:rsidRDefault="00A116E3" w:rsidP="005054CA">
      <w:pPr>
        <w:spacing w:after="1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CORSO </w:t>
      </w:r>
      <w:proofErr w:type="spellStart"/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DI</w:t>
      </w:r>
      <w:proofErr w:type="spellEnd"/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 FORMAZIONE SPECIFICA IN MEDICINA GENERALE</w:t>
      </w:r>
    </w:p>
    <w:p w:rsidR="00A116E3" w:rsidRPr="005054CA" w:rsidRDefault="00A116E3" w:rsidP="005054CA">
      <w:pPr>
        <w:spacing w:after="1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Sede di Reggio Emilia</w:t>
      </w:r>
    </w:p>
    <w:p w:rsidR="00A116E3" w:rsidRPr="005054CA" w:rsidRDefault="00A116E3" w:rsidP="005054CA">
      <w:pPr>
        <w:spacing w:after="1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Triennio 2013-2016</w:t>
      </w:r>
    </w:p>
    <w:p w:rsidR="00A116E3" w:rsidRPr="005054CA" w:rsidRDefault="00A116E3" w:rsidP="005054CA">
      <w:pPr>
        <w:spacing w:after="12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proofErr w:type="spellStart"/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Abstract</w:t>
      </w:r>
      <w:proofErr w:type="spellEnd"/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 della tesi</w:t>
      </w:r>
    </w:p>
    <w:p w:rsidR="00A116E3" w:rsidRPr="005054CA" w:rsidRDefault="00A116E3" w:rsidP="005054CA">
      <w:pPr>
        <w:spacing w:after="1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>Titolo</w:t>
      </w:r>
      <w:r w:rsidRPr="005054CA">
        <w:rPr>
          <w:rFonts w:ascii="Times New Roman" w:hAnsi="Times New Roman" w:cs="Times New Roman"/>
          <w:b/>
          <w:sz w:val="23"/>
          <w:szCs w:val="23"/>
        </w:rPr>
        <w:t xml:space="preserve">: L’UTILIZZO DELL’ABPM NEL SETTING DELLA MEDICINA GENERALE: L’ESPERIENZA DEI MMG NELLA CASA DELLA SALUTE </w:t>
      </w:r>
      <w:proofErr w:type="spellStart"/>
      <w:r w:rsidRPr="005054CA">
        <w:rPr>
          <w:rFonts w:ascii="Times New Roman" w:hAnsi="Times New Roman" w:cs="Times New Roman"/>
          <w:b/>
          <w:sz w:val="23"/>
          <w:szCs w:val="23"/>
        </w:rPr>
        <w:t>DI</w:t>
      </w:r>
      <w:proofErr w:type="spellEnd"/>
      <w:r w:rsidRPr="005054CA">
        <w:rPr>
          <w:rFonts w:ascii="Times New Roman" w:hAnsi="Times New Roman" w:cs="Times New Roman"/>
          <w:b/>
          <w:sz w:val="23"/>
          <w:szCs w:val="23"/>
        </w:rPr>
        <w:t xml:space="preserve"> COLORNO</w:t>
      </w:r>
    </w:p>
    <w:p w:rsidR="00A116E3" w:rsidRPr="005054CA" w:rsidRDefault="00A116E3" w:rsidP="005054CA">
      <w:pPr>
        <w:spacing w:after="120"/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</w:pPr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Candidata: </w:t>
      </w:r>
      <w:r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Dott.ssa Novella </w:t>
      </w:r>
      <w:proofErr w:type="spellStart"/>
      <w:r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>Ceretti</w:t>
      </w:r>
      <w:proofErr w:type="spellEnd"/>
    </w:p>
    <w:p w:rsidR="00A116E3" w:rsidRPr="005054CA" w:rsidRDefault="00A116E3" w:rsidP="005054CA">
      <w:pPr>
        <w:spacing w:after="120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Relatore: </w:t>
      </w:r>
      <w:r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>Dott. Gianluca Snelli</w:t>
      </w:r>
    </w:p>
    <w:p w:rsidR="00A116E3" w:rsidRPr="005054CA" w:rsidRDefault="00A116E3" w:rsidP="005054CA">
      <w:pPr>
        <w:spacing w:after="120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Obiettivi della tesi: </w:t>
      </w:r>
      <w:r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>Dimostrare</w:t>
      </w:r>
      <w:r w:rsidR="00EC172C"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che</w:t>
      </w:r>
      <w:r w:rsidR="00862EA2"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l’utilizzo dell’ABPM, nel </w:t>
      </w:r>
      <w:proofErr w:type="spellStart"/>
      <w:r w:rsidR="00862EA2"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>setting</w:t>
      </w:r>
      <w:proofErr w:type="spellEnd"/>
      <w:r w:rsidR="00862EA2"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della Medicina Generale, </w:t>
      </w:r>
      <w:r w:rsidR="00EC172C"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rende possibile </w:t>
      </w:r>
      <w:r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un miglior inquadramento diagnostico </w:t>
      </w:r>
      <w:r w:rsidR="00984E81"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e una </w:t>
      </w:r>
      <w:r w:rsidR="00862EA2"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più efficace gestione terapeutica </w:t>
      </w:r>
      <w:r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>del paziente con ipertens</w:t>
      </w:r>
      <w:r w:rsidR="00862EA2"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ione arteriosa, rispetto alla misurazione convenzionale della </w:t>
      </w:r>
      <w:proofErr w:type="spellStart"/>
      <w:r w:rsidR="00862EA2"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>PA</w:t>
      </w:r>
      <w:proofErr w:type="spellEnd"/>
      <w:r w:rsidR="00862EA2" w:rsidRPr="005054CA">
        <w:rPr>
          <w:rFonts w:ascii="Times New Roman" w:eastAsia="Times New Roman" w:hAnsi="Times New Roman" w:cs="Times New Roman"/>
          <w:sz w:val="23"/>
          <w:szCs w:val="23"/>
          <w:lang w:eastAsia="it-IT"/>
        </w:rPr>
        <w:t>.</w:t>
      </w:r>
    </w:p>
    <w:p w:rsidR="00D67F30" w:rsidRPr="005054CA" w:rsidRDefault="004019A4" w:rsidP="005054CA">
      <w:pPr>
        <w:spacing w:after="12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054CA">
        <w:rPr>
          <w:rFonts w:ascii="Times New Roman" w:eastAsia="Times New Roman" w:hAnsi="Times New Roman" w:cs="Times New Roman"/>
          <w:b/>
          <w:sz w:val="23"/>
          <w:szCs w:val="23"/>
          <w:lang w:eastAsia="it-IT"/>
        </w:rPr>
        <w:t xml:space="preserve">Metodologia utilizzata: </w:t>
      </w:r>
      <w:r w:rsidR="00EC172C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Per la gestione dei pazienti con ipertensione arteriosa i MMG della Casa della Salute di </w:t>
      </w:r>
      <w:proofErr w:type="spellStart"/>
      <w:r w:rsidR="00EC172C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Colorno</w:t>
      </w:r>
      <w:proofErr w:type="spellEnd"/>
      <w:r w:rsidR="00EC172C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si sono dotati della strumentazione necessaria per effettuare il monitoraggio dinamico della PA delle 24 ore</w:t>
      </w:r>
      <w:r w:rsidR="00984E81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</w:t>
      </w:r>
      <w:r w:rsidR="00D67F30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I criteri di scelta dei pazienti per l’effettuazione dell’ABPM si basano su una storia clinica nota di ipertensione arteriosa</w:t>
      </w:r>
      <w:r w:rsidR="005054CA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già in trattamento</w:t>
      </w:r>
      <w:r w:rsidR="00D67F30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o sulla base del riscontro occasionale di elevati valori di PA che fanno porre il sospetto di ipertensione arteriosa di neodiagnosi.</w:t>
      </w:r>
    </w:p>
    <w:p w:rsidR="00D67F30" w:rsidRPr="005054CA" w:rsidRDefault="00D67F30" w:rsidP="005054CA">
      <w:pPr>
        <w:spacing w:after="12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Lo scopo della tesi è stato quello di analizzare i risultati degli holter pres</w:t>
      </w:r>
      <w:r w:rsidR="00984E81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sori, </w:t>
      </w:r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con la finalità di dimostrare la maggiore affidabilità della metodica, rispetto alla misurazione convenzionale della </w:t>
      </w:r>
      <w:proofErr w:type="spellStart"/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PA</w:t>
      </w:r>
      <w:proofErr w:type="spellEnd"/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:rsidR="00EC172C" w:rsidRPr="005054CA" w:rsidRDefault="00D67F30" w:rsidP="005054CA">
      <w:pPr>
        <w:spacing w:after="12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Nel corso di 21 mesi </w:t>
      </w:r>
      <w:r w:rsidR="003C5A89">
        <w:rPr>
          <w:rFonts w:ascii="Times New Roman" w:hAnsi="Times New Roman" w:cs="Times New Roman"/>
          <w:color w:val="000000" w:themeColor="text1"/>
          <w:sz w:val="23"/>
          <w:szCs w:val="23"/>
        </w:rPr>
        <w:t>(tra gennaio 2015 e s</w:t>
      </w:r>
      <w:r w:rsidR="00984E81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ettembre 2016) </w:t>
      </w:r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sono stati reclutati 190 pazienti (126 ipertesi in trattamento e 64 sottoposti a conferma diagnostica), di età compresa tra i 35 e gli 85 anni, dei quali 102 femmine e 88 maschi. L’a</w:t>
      </w:r>
      <w:r w:rsidR="006A1157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nalisi dei referti ha permesso</w:t>
      </w:r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di evidenziare 26 nuove diagnosi di ipertensione arteriosa sostenuta (consentendo in questi pazienti di iniziare un’adeguata terapia farmacologica) e 38 di ipertensione da camice bianco (evitando un trattamento inappropriato).</w:t>
      </w:r>
    </w:p>
    <w:p w:rsidR="002F3E57" w:rsidRPr="005054CA" w:rsidRDefault="00D67F30" w:rsidP="005054CA">
      <w:pPr>
        <w:spacing w:after="12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Riguardo ai 126 pazienti in trattamento: 88 (70%) erano in ottimo compenso pressorio e non necessitavano di ulteriori aggiustamenti terapeutici, mentre 38 (30%) stavano assumendo una terapia non adeguata</w:t>
      </w:r>
      <w:r w:rsidR="006A1157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; i risultati dell’esame hanno perciò consentito di ottimizzarne il trattamento farmacologico.</w:t>
      </w:r>
    </w:p>
    <w:p w:rsidR="00D67F30" w:rsidRPr="005054CA" w:rsidRDefault="00D67F30" w:rsidP="005054CA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5054C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Conclusioni: </w:t>
      </w:r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Lo studio ha per</w:t>
      </w:r>
      <w:r w:rsidR="005054CA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messo di confermare l’utilità</w:t>
      </w:r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negli ambulatori dei medici di famiglia di uno strumento quale l’holter pressorio</w:t>
      </w:r>
      <w:r w:rsidR="005054CA"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sia per la diagnosi che per il monitoraggio dell’IA. Una corretta gestione della pressione arteriosa, in </w:t>
      </w:r>
      <w:proofErr w:type="spellStart"/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>setting</w:t>
      </w:r>
      <w:proofErr w:type="spellEnd"/>
      <w:r w:rsidRPr="005054C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ambulatoriali che vedono la collaborazione professionale di più MMG, trova valide risposte dalle informazioni che l’ABPM ci fornisce nelle diverse situazioni cliniche.</w:t>
      </w:r>
      <w:r w:rsidRPr="005054CA">
        <w:rPr>
          <w:rFonts w:ascii="Times New Roman" w:hAnsi="Times New Roman" w:cs="Times New Roman"/>
          <w:sz w:val="23"/>
          <w:szCs w:val="23"/>
        </w:rPr>
        <w:t xml:space="preserve"> L’holter pressorio è un elemento cruciale della strumentazione clinica non solo per valutare il reale carico pressorio e la variabilità della PA nella vita quotidiana ma anche per l'identificazione di pattern pressori anomali (l’ipertensione da camice bianco, l’ipertensione mascherata, il mancato ‘</w:t>
      </w:r>
      <w:proofErr w:type="spellStart"/>
      <w:r w:rsidRPr="005054CA">
        <w:rPr>
          <w:rFonts w:ascii="Times New Roman" w:hAnsi="Times New Roman" w:cs="Times New Roman"/>
          <w:sz w:val="23"/>
          <w:szCs w:val="23"/>
        </w:rPr>
        <w:t>dipping</w:t>
      </w:r>
      <w:proofErr w:type="spellEnd"/>
      <w:r w:rsidRPr="005054CA">
        <w:rPr>
          <w:rFonts w:ascii="Times New Roman" w:hAnsi="Times New Roman" w:cs="Times New Roman"/>
          <w:sz w:val="23"/>
          <w:szCs w:val="23"/>
        </w:rPr>
        <w:t>’ notturno).</w:t>
      </w:r>
    </w:p>
    <w:p w:rsidR="00E3002D" w:rsidRPr="005054CA" w:rsidRDefault="00D67F30" w:rsidP="005054CA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5054CA">
        <w:rPr>
          <w:rFonts w:ascii="Times New Roman" w:hAnsi="Times New Roman" w:cs="Times New Roman"/>
          <w:sz w:val="23"/>
          <w:szCs w:val="23"/>
        </w:rPr>
        <w:t xml:space="preserve">Da quanto documentato in letteratura e da quanto emerso anche dal nostro studio </w:t>
      </w:r>
      <w:proofErr w:type="spellStart"/>
      <w:r w:rsidRPr="005054CA">
        <w:rPr>
          <w:rFonts w:ascii="Times New Roman" w:hAnsi="Times New Roman" w:cs="Times New Roman"/>
          <w:sz w:val="23"/>
          <w:szCs w:val="23"/>
        </w:rPr>
        <w:t>osservazionale</w:t>
      </w:r>
      <w:proofErr w:type="spellEnd"/>
      <w:r w:rsidRPr="005054CA">
        <w:rPr>
          <w:rFonts w:ascii="Times New Roman" w:hAnsi="Times New Roman" w:cs="Times New Roman"/>
          <w:sz w:val="23"/>
          <w:szCs w:val="23"/>
        </w:rPr>
        <w:t>, l’ABPM fornisce una valutazione accurata del reale profilo pressorio e come tale guida il medico a un migliore adeguamento della terapia.</w:t>
      </w:r>
    </w:p>
    <w:sectPr w:rsidR="00E3002D" w:rsidRPr="005054CA" w:rsidSect="005054CA">
      <w:pgSz w:w="11906" w:h="16838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8F02BE"/>
    <w:rsid w:val="000010EC"/>
    <w:rsid w:val="00165291"/>
    <w:rsid w:val="002F3E57"/>
    <w:rsid w:val="003C5A89"/>
    <w:rsid w:val="004019A4"/>
    <w:rsid w:val="005054CA"/>
    <w:rsid w:val="005E6E93"/>
    <w:rsid w:val="0063790A"/>
    <w:rsid w:val="006A1157"/>
    <w:rsid w:val="00801CBF"/>
    <w:rsid w:val="00862EA2"/>
    <w:rsid w:val="008F02BE"/>
    <w:rsid w:val="00984E81"/>
    <w:rsid w:val="00A116E3"/>
    <w:rsid w:val="00B75155"/>
    <w:rsid w:val="00BD38D8"/>
    <w:rsid w:val="00BD7328"/>
    <w:rsid w:val="00C85D8C"/>
    <w:rsid w:val="00CB4FA1"/>
    <w:rsid w:val="00D67F30"/>
    <w:rsid w:val="00D86FCF"/>
    <w:rsid w:val="00E3002D"/>
    <w:rsid w:val="00EC172C"/>
    <w:rsid w:val="00ED3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7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7F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NIC</b:Tag>
    <b:SourceType>JournalArticle</b:SourceType>
    <b:Guid>{12FB1302-F091-4DBD-96F3-1F230E7E9601}</b:Guid>
    <b:LCID>0</b:LCID>
    <b:Author>
      <b:Author>
        <b:NameList>
          <b:Person>
            <b:Last>NICE</b:Last>
          </b:Person>
        </b:NameList>
      </b:Author>
    </b:Author>
    <b:RefOrder>6</b:RefOrder>
  </b:Source>
</b:Sources>
</file>

<file path=customXml/itemProps1.xml><?xml version="1.0" encoding="utf-8"?>
<ds:datastoreItem xmlns:ds="http://schemas.openxmlformats.org/officeDocument/2006/customXml" ds:itemID="{D6C9196F-6A87-4D62-90A9-43065B94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5</cp:revision>
  <cp:lastPrinted>2016-11-28T07:40:00Z</cp:lastPrinted>
  <dcterms:created xsi:type="dcterms:W3CDTF">2016-11-23T08:28:00Z</dcterms:created>
  <dcterms:modified xsi:type="dcterms:W3CDTF">2016-11-28T07:40:00Z</dcterms:modified>
</cp:coreProperties>
</file>