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ADA" w:rsidRPr="001D5ADA" w:rsidRDefault="001D5ADA" w:rsidP="001D5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D5ADA">
        <w:rPr>
          <w:rFonts w:ascii="Calibri" w:eastAsia="Times New Roman" w:hAnsi="Calibri" w:cs="Times New Roman"/>
        </w:rPr>
        <w:t>Oggetto: Vaccinazione anti SARS-CoV-2 soggetti 5 - 11 anni</w:t>
      </w:r>
    </w:p>
    <w:p w:rsidR="001D5ADA" w:rsidRPr="001D5ADA" w:rsidRDefault="001D5ADA" w:rsidP="001D5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D5ADA">
        <w:rPr>
          <w:rFonts w:ascii="Calibri" w:eastAsia="Times New Roman" w:hAnsi="Calibri" w:cs="Times New Roman"/>
        </w:rPr>
        <w:t> </w:t>
      </w:r>
    </w:p>
    <w:p w:rsidR="001D5ADA" w:rsidRPr="001D5ADA" w:rsidRDefault="001D5ADA" w:rsidP="001D5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D5ADA">
        <w:rPr>
          <w:rFonts w:ascii="Calibri" w:eastAsia="Times New Roman" w:hAnsi="Calibri" w:cs="Times New Roman"/>
        </w:rPr>
        <w:t>Gentili Colleghi,</w:t>
      </w:r>
    </w:p>
    <w:p w:rsidR="001D5ADA" w:rsidRPr="001D5ADA" w:rsidRDefault="001D5ADA" w:rsidP="001D5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D5ADA">
        <w:rPr>
          <w:rFonts w:ascii="Calibri" w:eastAsia="Times New Roman" w:hAnsi="Calibri" w:cs="Times New Roman"/>
        </w:rPr>
        <w:t> </w:t>
      </w:r>
    </w:p>
    <w:p w:rsidR="001D5ADA" w:rsidRPr="001D5ADA" w:rsidRDefault="001D5ADA" w:rsidP="001D5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D5ADA">
        <w:rPr>
          <w:rFonts w:ascii="Calibri" w:eastAsia="Times New Roman" w:hAnsi="Calibri" w:cs="Times New Roman"/>
        </w:rPr>
        <w:t xml:space="preserve">in riscontro ad alcuni quesiti ed a criticità conseguenti a difformità nel </w:t>
      </w:r>
      <w:proofErr w:type="spellStart"/>
      <w:r w:rsidRPr="001D5ADA">
        <w:rPr>
          <w:rFonts w:ascii="Calibri" w:eastAsia="Times New Roman" w:hAnsi="Calibri" w:cs="Times New Roman"/>
        </w:rPr>
        <w:t>counseling</w:t>
      </w:r>
      <w:proofErr w:type="spellEnd"/>
      <w:r w:rsidRPr="001D5ADA">
        <w:rPr>
          <w:rFonts w:ascii="Calibri" w:eastAsia="Times New Roman" w:hAnsi="Calibri" w:cs="Times New Roman"/>
        </w:rPr>
        <w:t xml:space="preserve"> ai genitori, si sottolinea quanto attualmente previsto dalle indicazioni vigenti</w:t>
      </w:r>
      <w:r w:rsidRPr="001D5ADA">
        <w:rPr>
          <w:rFonts w:ascii="Calibri" w:eastAsia="Times New Roman" w:hAnsi="Calibri" w:cs="Times New Roman"/>
          <w:color w:val="1F497D"/>
        </w:rPr>
        <w:t xml:space="preserve"> </w:t>
      </w:r>
      <w:r w:rsidRPr="001D5ADA">
        <w:rPr>
          <w:rFonts w:ascii="Calibri" w:eastAsia="Times New Roman" w:hAnsi="Calibri" w:cs="Times New Roman"/>
        </w:rPr>
        <w:t>in merito all’oggetto:</w:t>
      </w:r>
    </w:p>
    <w:p w:rsidR="001D5ADA" w:rsidRPr="001D5ADA" w:rsidRDefault="001D5ADA" w:rsidP="001D5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D5ADA">
        <w:rPr>
          <w:rFonts w:ascii="Calibri" w:eastAsia="Times New Roman" w:hAnsi="Calibri" w:cs="Times New Roman"/>
        </w:rPr>
        <w:t> </w:t>
      </w:r>
    </w:p>
    <w:p w:rsidR="001D5ADA" w:rsidRPr="001D5ADA" w:rsidRDefault="001D5ADA" w:rsidP="001D5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D5ADA">
        <w:rPr>
          <w:rFonts w:ascii="Calibri" w:eastAsia="Times New Roman" w:hAnsi="Calibri" w:cs="Times New Roman"/>
          <w:b/>
          <w:bCs/>
          <w:lang w:eastAsia="it-IT"/>
        </w:rPr>
        <w:t>- la 1° dose pediatrica</w:t>
      </w:r>
      <w:r w:rsidRPr="001D5ADA">
        <w:rPr>
          <w:rFonts w:ascii="Calibri" w:eastAsia="Times New Roman" w:hAnsi="Calibri" w:cs="Times New Roman"/>
          <w:lang w:eastAsia="it-IT"/>
        </w:rPr>
        <w:t xml:space="preserve"> (</w:t>
      </w:r>
      <w:proofErr w:type="spellStart"/>
      <w:r w:rsidRPr="001D5ADA">
        <w:rPr>
          <w:rFonts w:ascii="Calibri" w:eastAsia="Times New Roman" w:hAnsi="Calibri" w:cs="Times New Roman"/>
          <w:i/>
          <w:iCs/>
          <w:lang w:eastAsia="it-IT"/>
        </w:rPr>
        <w:t>Comirnaty</w:t>
      </w:r>
      <w:proofErr w:type="spellEnd"/>
      <w:r w:rsidRPr="001D5ADA">
        <w:rPr>
          <w:rFonts w:ascii="Calibri" w:eastAsia="Times New Roman" w:hAnsi="Calibri" w:cs="Times New Roman"/>
          <w:i/>
          <w:iCs/>
          <w:lang w:eastAsia="it-IT"/>
        </w:rPr>
        <w:t xml:space="preserve"> 10 </w:t>
      </w:r>
      <w:proofErr w:type="spellStart"/>
      <w:r w:rsidRPr="001D5ADA">
        <w:rPr>
          <w:rFonts w:ascii="Calibri" w:eastAsia="Times New Roman" w:hAnsi="Calibri" w:cs="Times New Roman"/>
          <w:i/>
          <w:iCs/>
          <w:lang w:eastAsia="it-IT"/>
        </w:rPr>
        <w:t>mcg</w:t>
      </w:r>
      <w:proofErr w:type="spellEnd"/>
      <w:r w:rsidRPr="001D5ADA">
        <w:rPr>
          <w:rFonts w:ascii="Calibri" w:eastAsia="Times New Roman" w:hAnsi="Calibri" w:cs="Times New Roman"/>
          <w:i/>
          <w:iCs/>
          <w:lang w:eastAsia="it-IT"/>
        </w:rPr>
        <w:t>/dose</w:t>
      </w:r>
      <w:r w:rsidRPr="001D5ADA">
        <w:rPr>
          <w:rFonts w:ascii="Calibri" w:eastAsia="Times New Roman" w:hAnsi="Calibri" w:cs="Times New Roman"/>
          <w:lang w:eastAsia="it-IT"/>
        </w:rPr>
        <w:t xml:space="preserve">) </w:t>
      </w:r>
      <w:r w:rsidRPr="001D5ADA">
        <w:rPr>
          <w:rFonts w:ascii="Calibri" w:eastAsia="Times New Roman" w:hAnsi="Calibri" w:cs="Times New Roman"/>
          <w:b/>
          <w:bCs/>
          <w:lang w:eastAsia="it-IT"/>
        </w:rPr>
        <w:t>si effettua nei soggetti che abbiano compiuto i 5 anni e fino al giorno prima del compimento del 12° anno</w:t>
      </w:r>
      <w:r w:rsidRPr="001D5ADA">
        <w:rPr>
          <w:rFonts w:ascii="Calibri" w:eastAsia="Times New Roman" w:hAnsi="Calibri" w:cs="Times New Roman"/>
          <w:lang w:eastAsia="it-IT"/>
        </w:rPr>
        <w:t>;.</w:t>
      </w:r>
    </w:p>
    <w:p w:rsidR="001D5ADA" w:rsidRPr="001D5ADA" w:rsidRDefault="001D5ADA" w:rsidP="001D5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D5ADA">
        <w:rPr>
          <w:rFonts w:ascii="Calibri" w:eastAsia="Times New Roman" w:hAnsi="Calibri" w:cs="Times New Roman"/>
          <w:lang w:eastAsia="it-IT"/>
        </w:rPr>
        <w:t> </w:t>
      </w:r>
    </w:p>
    <w:p w:rsidR="001D5ADA" w:rsidRPr="001D5ADA" w:rsidRDefault="001D5ADA" w:rsidP="001D5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D5AD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- Il ciclo vaccinale si completa con lo stesso vaccino con cui è stato avviato anche se tra la prima e seconda dose il bambino compie 12 anni</w:t>
      </w:r>
      <w:r w:rsidRPr="001D5A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(il bambino di 11 anni che inizia il ciclo e compie 12 anni durante i 21 giorni intercorrenti tra le dosi, riceverà 2 dosi di vaccino Pfizer pediatrico);</w:t>
      </w:r>
    </w:p>
    <w:p w:rsidR="001D5ADA" w:rsidRPr="001D5ADA" w:rsidRDefault="001D5ADA" w:rsidP="001D5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D5ADA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1D5ADA" w:rsidRPr="001D5ADA" w:rsidRDefault="001D5ADA" w:rsidP="001D5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D5A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- </w:t>
      </w:r>
      <w:r w:rsidRPr="001D5AD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l’utilizzo del dosaggio pediatrico</w:t>
      </w:r>
      <w:r w:rsidRPr="001D5A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</w:t>
      </w:r>
      <w:proofErr w:type="spellStart"/>
      <w:r w:rsidRPr="001D5AD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Comirnaty</w:t>
      </w:r>
      <w:proofErr w:type="spellEnd"/>
      <w:r w:rsidRPr="001D5AD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10 </w:t>
      </w:r>
      <w:proofErr w:type="spellStart"/>
      <w:r w:rsidRPr="001D5AD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mcg</w:t>
      </w:r>
      <w:proofErr w:type="spellEnd"/>
      <w:r w:rsidRPr="001D5AD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/dose</w:t>
      </w:r>
      <w:r w:rsidRPr="001D5A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D5AD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) deve avvenire esclusivamente in base all’età anagrafica del vaccinando al momento dell’avvio del ciclo vaccinale </w:t>
      </w:r>
      <w:r w:rsidRPr="001D5A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(come illustrato precedentemente), non considerando il peso corporeo del soggetto, </w:t>
      </w:r>
      <w:r w:rsidRPr="001D5AD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lo stadio di sviluppo puberale o l'età ossea; </w:t>
      </w:r>
    </w:p>
    <w:p w:rsidR="001D5ADA" w:rsidRPr="001D5ADA" w:rsidRDefault="001D5ADA" w:rsidP="001D5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D5AD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</w:t>
      </w:r>
    </w:p>
    <w:p w:rsidR="001D5ADA" w:rsidRPr="001D5ADA" w:rsidRDefault="001D5ADA" w:rsidP="001D5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D5ADA">
        <w:rPr>
          <w:rFonts w:ascii="Calibri" w:eastAsia="Times New Roman" w:hAnsi="Calibri" w:cs="Times New Roman"/>
          <w:lang w:eastAsia="it-IT"/>
        </w:rPr>
        <w:t xml:space="preserve">- </w:t>
      </w:r>
      <w:r w:rsidRPr="001D5ADA">
        <w:rPr>
          <w:rFonts w:ascii="Calibri" w:eastAsia="Times New Roman" w:hAnsi="Calibri" w:cs="Times New Roman"/>
          <w:b/>
          <w:bCs/>
          <w:lang w:eastAsia="it-IT"/>
        </w:rPr>
        <w:t xml:space="preserve">è possibile effettuare la somministrazione concomitante (o a </w:t>
      </w:r>
      <w:r w:rsidRPr="001D5ADA">
        <w:rPr>
          <w:rFonts w:ascii="Calibri" w:eastAsia="Times New Roman" w:hAnsi="Calibri" w:cs="Times New Roman"/>
          <w:b/>
          <w:bCs/>
          <w:u w:val="single"/>
          <w:lang w:eastAsia="it-IT"/>
        </w:rPr>
        <w:t>qualsiasi distanza di tempo, prima o dopo</w:t>
      </w:r>
      <w:r w:rsidRPr="001D5ADA">
        <w:rPr>
          <w:rFonts w:ascii="Calibri" w:eastAsia="Times New Roman" w:hAnsi="Calibri" w:cs="Times New Roman"/>
          <w:b/>
          <w:bCs/>
          <w:lang w:eastAsia="it-IT"/>
        </w:rPr>
        <w:t>), di un vaccino anti-SARS-CoV-2 utilizzato in Italia e di un altro vaccino del Piano Nazionale di Prevenzione Vaccinale</w:t>
      </w:r>
      <w:r w:rsidRPr="001D5ADA">
        <w:rPr>
          <w:rFonts w:ascii="Calibri" w:eastAsia="Times New Roman" w:hAnsi="Calibri" w:cs="Times New Roman"/>
          <w:lang w:eastAsia="it-IT"/>
        </w:rPr>
        <w:t xml:space="preserve">, </w:t>
      </w:r>
      <w:r w:rsidRPr="001D5ADA">
        <w:rPr>
          <w:rFonts w:ascii="Calibri" w:eastAsia="Times New Roman" w:hAnsi="Calibri" w:cs="Times New Roman"/>
          <w:b/>
          <w:bCs/>
          <w:lang w:eastAsia="it-IT"/>
        </w:rPr>
        <w:t xml:space="preserve">con </w:t>
      </w:r>
      <w:r w:rsidRPr="001D5ADA">
        <w:rPr>
          <w:rFonts w:ascii="Calibri" w:eastAsia="Times New Roman" w:hAnsi="Calibri" w:cs="Times New Roman"/>
          <w:b/>
          <w:bCs/>
          <w:u w:val="single"/>
          <w:lang w:eastAsia="it-IT"/>
        </w:rPr>
        <w:t>l’eccezione dei vaccini vivi attenuati</w:t>
      </w:r>
      <w:r w:rsidRPr="001D5ADA">
        <w:rPr>
          <w:rFonts w:ascii="Calibri" w:eastAsia="Times New Roman" w:hAnsi="Calibri" w:cs="Times New Roman"/>
          <w:b/>
          <w:bCs/>
          <w:lang w:eastAsia="it-IT"/>
        </w:rPr>
        <w:t xml:space="preserve"> </w:t>
      </w:r>
      <w:r w:rsidRPr="001D5ADA">
        <w:rPr>
          <w:rFonts w:ascii="Calibri" w:eastAsia="Times New Roman" w:hAnsi="Calibri" w:cs="Times New Roman"/>
          <w:lang w:eastAsia="it-IT"/>
        </w:rPr>
        <w:t>(anti – morbillo, parotite, rosolia e varicella, antinfluenzale spray nasale, vaccino per la Febbre gialla),</w:t>
      </w:r>
      <w:r w:rsidRPr="001D5ADA">
        <w:rPr>
          <w:rFonts w:ascii="Calibri" w:eastAsia="Times New Roman" w:hAnsi="Calibri" w:cs="Times New Roman"/>
          <w:b/>
          <w:bCs/>
          <w:lang w:eastAsia="it-IT"/>
        </w:rPr>
        <w:t xml:space="preserve"> </w:t>
      </w:r>
      <w:r w:rsidRPr="001D5ADA">
        <w:rPr>
          <w:rFonts w:ascii="Calibri" w:eastAsia="Times New Roman" w:hAnsi="Calibri" w:cs="Times New Roman"/>
          <w:lang w:eastAsia="it-IT"/>
        </w:rPr>
        <w:t xml:space="preserve">per i quali può essere </w:t>
      </w:r>
      <w:r w:rsidRPr="001D5ADA">
        <w:rPr>
          <w:rFonts w:ascii="Calibri" w:eastAsia="Times New Roman" w:hAnsi="Calibri" w:cs="Times New Roman"/>
          <w:b/>
          <w:bCs/>
          <w:lang w:eastAsia="it-IT"/>
        </w:rPr>
        <w:t>considerata valida</w:t>
      </w:r>
      <w:r w:rsidRPr="001D5ADA">
        <w:rPr>
          <w:rFonts w:ascii="Calibri" w:eastAsia="Times New Roman" w:hAnsi="Calibri" w:cs="Times New Roman"/>
          <w:lang w:eastAsia="it-IT"/>
        </w:rPr>
        <w:t xml:space="preserve"> </w:t>
      </w:r>
      <w:r w:rsidRPr="001D5ADA">
        <w:rPr>
          <w:rFonts w:ascii="Calibri" w:eastAsia="Times New Roman" w:hAnsi="Calibri" w:cs="Times New Roman"/>
          <w:b/>
          <w:bCs/>
          <w:lang w:eastAsia="it-IT"/>
        </w:rPr>
        <w:t xml:space="preserve">una </w:t>
      </w:r>
      <w:r w:rsidRPr="001D5ADA">
        <w:rPr>
          <w:rFonts w:ascii="Calibri" w:eastAsia="Times New Roman" w:hAnsi="Calibri" w:cs="Times New Roman"/>
          <w:b/>
          <w:bCs/>
          <w:u w:val="single"/>
          <w:lang w:eastAsia="it-IT"/>
        </w:rPr>
        <w:t>distanza minima precauzionale di 14 giorni</w:t>
      </w:r>
      <w:r w:rsidRPr="001D5ADA">
        <w:rPr>
          <w:rFonts w:ascii="Calibri" w:eastAsia="Times New Roman" w:hAnsi="Calibri" w:cs="Times New Roman"/>
          <w:b/>
          <w:bCs/>
          <w:lang w:eastAsia="it-IT"/>
        </w:rPr>
        <w:t xml:space="preserve"> prima o dopo la somministrazione del vaccino anti SARS-CoV-2</w:t>
      </w:r>
      <w:r w:rsidRPr="001D5ADA">
        <w:rPr>
          <w:rFonts w:ascii="Calibri" w:eastAsia="Times New Roman" w:hAnsi="Calibri" w:cs="Times New Roman"/>
          <w:b/>
          <w:bCs/>
          <w:color w:val="1F497D"/>
          <w:lang w:eastAsia="it-IT"/>
        </w:rPr>
        <w:t>,</w:t>
      </w:r>
      <w:r w:rsidRPr="001D5ADA">
        <w:rPr>
          <w:rFonts w:ascii="Calibri" w:eastAsia="Times New Roman" w:hAnsi="Calibri" w:cs="Times New Roman"/>
          <w:color w:val="1F497D"/>
          <w:lang w:eastAsia="it-IT"/>
        </w:rPr>
        <w:t xml:space="preserve"> </w:t>
      </w:r>
      <w:r w:rsidRPr="001D5ADA">
        <w:rPr>
          <w:rFonts w:ascii="Calibri" w:eastAsia="Times New Roman" w:hAnsi="Calibri" w:cs="Times New Roman"/>
          <w:lang w:eastAsia="it-IT"/>
        </w:rPr>
        <w:t>secondo quanto indicato dalla Circolare del Ministero della Salute 044591-02/10/2021-DGPRE-DGPRE-P.</w:t>
      </w:r>
    </w:p>
    <w:p w:rsidR="001D5ADA" w:rsidRPr="001D5ADA" w:rsidRDefault="001D5ADA" w:rsidP="001D5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D5ADA">
        <w:rPr>
          <w:rFonts w:ascii="Calibri" w:eastAsia="Times New Roman" w:hAnsi="Calibri" w:cs="Times New Roman"/>
          <w:color w:val="1F497D"/>
          <w:lang w:eastAsia="it-IT"/>
        </w:rPr>
        <w:t> </w:t>
      </w:r>
    </w:p>
    <w:p w:rsidR="001D5ADA" w:rsidRPr="001D5ADA" w:rsidRDefault="001D5ADA" w:rsidP="001D5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D5ADA">
        <w:rPr>
          <w:rFonts w:ascii="Calibri" w:eastAsia="Times New Roman" w:hAnsi="Calibri" w:cs="Times New Roman"/>
          <w:b/>
          <w:bCs/>
          <w:color w:val="000000"/>
          <w:lang w:eastAsia="it-IT"/>
        </w:rPr>
        <w:t>Quest’ultima possibilità è valida anche per i cittadini di età superiore ai 12 anni</w:t>
      </w:r>
      <w:r w:rsidRPr="001D5ADA">
        <w:rPr>
          <w:rFonts w:ascii="Calibri" w:eastAsia="Times New Roman" w:hAnsi="Calibri" w:cs="Times New Roman"/>
          <w:color w:val="000000"/>
          <w:lang w:eastAsia="it-IT"/>
        </w:rPr>
        <w:t xml:space="preserve">, </w:t>
      </w:r>
      <w:r w:rsidRPr="001D5ADA">
        <w:rPr>
          <w:rFonts w:ascii="Calibri" w:eastAsia="Times New Roman" w:hAnsi="Calibri" w:cs="Times New Roman"/>
          <w:color w:val="000000"/>
          <w:shd w:val="clear" w:color="auto" w:fill="FFFFFF"/>
          <w:lang w:eastAsia="it-IT"/>
        </w:rPr>
        <w:t xml:space="preserve">per i quali </w:t>
      </w:r>
      <w:r w:rsidRPr="001D5ADA">
        <w:rPr>
          <w:rFonts w:ascii="Calibri" w:eastAsia="Times New Roman" w:hAnsi="Calibri" w:cs="Times New Roman"/>
          <w:b/>
          <w:bCs/>
          <w:color w:val="000000"/>
          <w:shd w:val="clear" w:color="auto" w:fill="FFFFFF"/>
          <w:lang w:eastAsia="it-IT"/>
        </w:rPr>
        <w:t xml:space="preserve">rappresentano </w:t>
      </w:r>
      <w:r w:rsidRPr="001D5ADA">
        <w:rPr>
          <w:rFonts w:ascii="Calibri" w:eastAsia="Times New Roman" w:hAnsi="Calibri" w:cs="Times New Roman"/>
          <w:b/>
          <w:bCs/>
          <w:color w:val="000000"/>
          <w:u w:val="single"/>
          <w:shd w:val="clear" w:color="auto" w:fill="FFFFFF"/>
          <w:lang w:eastAsia="it-IT"/>
        </w:rPr>
        <w:t>ulteriore eccezione</w:t>
      </w:r>
      <w:r w:rsidRPr="001D5ADA">
        <w:rPr>
          <w:rFonts w:ascii="Calibri" w:eastAsia="Times New Roman" w:hAnsi="Calibri" w:cs="Times New Roman"/>
          <w:b/>
          <w:bCs/>
          <w:color w:val="000000"/>
          <w:shd w:val="clear" w:color="auto" w:fill="FFFFFF"/>
          <w:lang w:eastAsia="it-IT"/>
        </w:rPr>
        <w:t xml:space="preserve"> </w:t>
      </w:r>
      <w:r w:rsidRPr="001D5ADA">
        <w:rPr>
          <w:rFonts w:ascii="Calibri" w:eastAsia="Times New Roman" w:hAnsi="Calibri" w:cs="Times New Roman"/>
          <w:color w:val="000000"/>
          <w:shd w:val="clear" w:color="auto" w:fill="FFFFFF"/>
          <w:lang w:eastAsia="it-IT"/>
        </w:rPr>
        <w:t xml:space="preserve">(per la quale prevedere </w:t>
      </w:r>
      <w:r w:rsidRPr="001D5ADA">
        <w:rPr>
          <w:rFonts w:ascii="Calibri" w:eastAsia="Times New Roman" w:hAnsi="Calibri" w:cs="Times New Roman"/>
          <w:color w:val="000000"/>
          <w:u w:val="single"/>
          <w:shd w:val="clear" w:color="auto" w:fill="FFFFFF"/>
          <w:lang w:eastAsia="it-IT"/>
        </w:rPr>
        <w:t>una distanza minima precauzionale di 14 giorni</w:t>
      </w:r>
      <w:r w:rsidRPr="001D5ADA">
        <w:rPr>
          <w:rFonts w:ascii="Calibri" w:eastAsia="Times New Roman" w:hAnsi="Calibri" w:cs="Times New Roman"/>
          <w:color w:val="000000"/>
          <w:shd w:val="clear" w:color="auto" w:fill="FFFFFF"/>
          <w:lang w:eastAsia="it-IT"/>
        </w:rPr>
        <w:t xml:space="preserve">) </w:t>
      </w:r>
      <w:r w:rsidRPr="001D5ADA">
        <w:rPr>
          <w:rFonts w:ascii="Calibri" w:eastAsia="Times New Roman" w:hAnsi="Calibri" w:cs="Times New Roman"/>
          <w:b/>
          <w:bCs/>
          <w:color w:val="000000"/>
          <w:shd w:val="clear" w:color="auto" w:fill="FFFFFF"/>
          <w:lang w:eastAsia="it-IT"/>
        </w:rPr>
        <w:t xml:space="preserve">lo </w:t>
      </w:r>
      <w:r w:rsidRPr="001D5ADA">
        <w:rPr>
          <w:rFonts w:ascii="Calibri" w:eastAsia="Times New Roman" w:hAnsi="Calibri" w:cs="Times New Roman"/>
          <w:b/>
          <w:bCs/>
          <w:color w:val="000000"/>
          <w:u w:val="single"/>
          <w:shd w:val="clear" w:color="auto" w:fill="FFFFFF"/>
          <w:lang w:eastAsia="it-IT"/>
        </w:rPr>
        <w:t>stato di gravidanza</w:t>
      </w:r>
      <w:r w:rsidRPr="001D5ADA">
        <w:rPr>
          <w:rFonts w:ascii="Calibri" w:eastAsia="Times New Roman" w:hAnsi="Calibri" w:cs="Times New Roman"/>
          <w:b/>
          <w:bCs/>
          <w:color w:val="000000"/>
          <w:shd w:val="clear" w:color="auto" w:fill="FFFFFF"/>
          <w:lang w:eastAsia="it-IT"/>
        </w:rPr>
        <w:t xml:space="preserve"> e la somministrazione di </w:t>
      </w:r>
      <w:r w:rsidRPr="001D5ADA">
        <w:rPr>
          <w:rFonts w:ascii="Calibri" w:eastAsia="Times New Roman" w:hAnsi="Calibri" w:cs="Times New Roman"/>
          <w:b/>
          <w:bCs/>
          <w:color w:val="000000"/>
          <w:u w:val="single"/>
          <w:lang w:eastAsia="it-IT"/>
        </w:rPr>
        <w:t>vaccino anti-Zoster</w:t>
      </w:r>
      <w:r w:rsidRPr="001D5ADA">
        <w:rPr>
          <w:rFonts w:ascii="Calibri" w:eastAsia="Times New Roman" w:hAnsi="Calibri" w:cs="Times New Roman"/>
          <w:b/>
          <w:bCs/>
          <w:color w:val="000000"/>
          <w:lang w:eastAsia="it-IT"/>
        </w:rPr>
        <w:t xml:space="preserve"> sia vivo attenuato (</w:t>
      </w:r>
      <w:proofErr w:type="spellStart"/>
      <w:r w:rsidRPr="001D5ADA">
        <w:rPr>
          <w:rFonts w:ascii="Calibri" w:eastAsia="Times New Roman" w:hAnsi="Calibri" w:cs="Times New Roman"/>
          <w:b/>
          <w:bCs/>
          <w:color w:val="000000"/>
          <w:lang w:eastAsia="it-IT"/>
        </w:rPr>
        <w:t>Zostavax</w:t>
      </w:r>
      <w:proofErr w:type="spellEnd"/>
      <w:r w:rsidRPr="001D5ADA">
        <w:rPr>
          <w:rFonts w:ascii="Calibri" w:eastAsia="Times New Roman" w:hAnsi="Calibri" w:cs="Times New Roman"/>
          <w:b/>
          <w:bCs/>
          <w:color w:val="000000"/>
          <w:lang w:eastAsia="it-IT"/>
        </w:rPr>
        <w:t>) sia ricombinante (</w:t>
      </w:r>
      <w:proofErr w:type="spellStart"/>
      <w:r w:rsidRPr="001D5ADA">
        <w:rPr>
          <w:rFonts w:ascii="Calibri" w:eastAsia="Times New Roman" w:hAnsi="Calibri" w:cs="Times New Roman"/>
          <w:b/>
          <w:bCs/>
          <w:color w:val="202124"/>
          <w:shd w:val="clear" w:color="auto" w:fill="FFFFFF"/>
          <w:lang w:eastAsia="it-IT"/>
        </w:rPr>
        <w:t>Shingrix</w:t>
      </w:r>
      <w:proofErr w:type="spellEnd"/>
      <w:r w:rsidRPr="001D5ADA">
        <w:rPr>
          <w:rFonts w:ascii="Calibri" w:eastAsia="Times New Roman" w:hAnsi="Calibri" w:cs="Times New Roman"/>
          <w:b/>
          <w:bCs/>
          <w:color w:val="000000"/>
          <w:lang w:eastAsia="it-IT"/>
        </w:rPr>
        <w:t>).</w:t>
      </w:r>
    </w:p>
    <w:p w:rsidR="001D5ADA" w:rsidRPr="001D5ADA" w:rsidRDefault="001D5ADA" w:rsidP="001D5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D5ADA">
        <w:rPr>
          <w:rFonts w:ascii="Calibri" w:eastAsia="Times New Roman" w:hAnsi="Calibri" w:cs="Times New Roman"/>
          <w:b/>
          <w:bCs/>
          <w:color w:val="000000"/>
          <w:lang w:eastAsia="it-IT"/>
        </w:rPr>
        <w:t> </w:t>
      </w:r>
    </w:p>
    <w:p w:rsidR="001D5ADA" w:rsidRPr="001D5ADA" w:rsidRDefault="001D5ADA" w:rsidP="001D5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D5ADA">
        <w:rPr>
          <w:rFonts w:ascii="Calibri" w:eastAsia="Times New Roman" w:hAnsi="Calibri" w:cs="Times New Roman"/>
          <w:color w:val="000000"/>
          <w:lang w:eastAsia="it-IT"/>
        </w:rPr>
        <w:t>Si coglie l’occasione per indicare il link per visionare il Forum con esperti nel settore, tenutosi il 16 dicembre 2021, in merito alle vaccinazioni nella fascia di età 5-11 anni:</w:t>
      </w:r>
    </w:p>
    <w:p w:rsidR="001D5ADA" w:rsidRPr="001D5ADA" w:rsidRDefault="001D5ADA" w:rsidP="001D5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4" w:tgtFrame="_blank" w:history="1">
        <w:r w:rsidRPr="001D5ADA">
          <w:rPr>
            <w:rFonts w:ascii="Calibri" w:eastAsia="Times New Roman" w:hAnsi="Calibri" w:cs="Times New Roman"/>
            <w:color w:val="0000FF"/>
            <w:u w:val="single"/>
            <w:lang w:eastAsia="it-IT"/>
          </w:rPr>
          <w:t>https://www.facebook.com/corrieredellasera/videos/stop-ai-dubbi-speciale-bambini-il-coordinatore-della-campagna-vaccinale-della-re/1356945891407427/</w:t>
        </w:r>
      </w:hyperlink>
    </w:p>
    <w:p w:rsidR="001D5ADA" w:rsidRPr="001D5ADA" w:rsidRDefault="001D5ADA" w:rsidP="001D5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D5ADA">
        <w:rPr>
          <w:rFonts w:ascii="Calibri" w:eastAsia="Times New Roman" w:hAnsi="Calibri" w:cs="Times New Roman"/>
          <w:color w:val="000000"/>
          <w:lang w:eastAsia="it-IT"/>
        </w:rPr>
        <w:t> </w:t>
      </w:r>
    </w:p>
    <w:p w:rsidR="001D5ADA" w:rsidRPr="001D5ADA" w:rsidRDefault="001D5ADA" w:rsidP="001D5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D5ADA">
        <w:rPr>
          <w:rFonts w:ascii="Calibri" w:eastAsia="Times New Roman" w:hAnsi="Calibri" w:cs="Times New Roman"/>
          <w:lang w:eastAsia="it-IT"/>
        </w:rPr>
        <w:t>Certi della Vostra collaborazione nell’offrire ai cittadini informazioni univoche e conformi alle vigenti indicazioni ministeriali e regionali</w:t>
      </w:r>
      <w:r w:rsidRPr="001D5ADA">
        <w:rPr>
          <w:rFonts w:ascii="Calibri" w:eastAsia="Times New Roman" w:hAnsi="Calibri" w:cs="Times New Roman"/>
          <w:color w:val="1F497D"/>
          <w:lang w:eastAsia="it-IT"/>
        </w:rPr>
        <w:t xml:space="preserve">, </w:t>
      </w:r>
      <w:r w:rsidRPr="001D5ADA">
        <w:rPr>
          <w:rFonts w:ascii="Calibri" w:eastAsia="Times New Roman" w:hAnsi="Calibri" w:cs="Times New Roman"/>
          <w:lang w:eastAsia="it-IT"/>
        </w:rPr>
        <w:t> evitando criticità nella pianificazione dell’attività ordinaria delle U.O. Vaccinazioni, si porgono cordiali saluti.</w:t>
      </w:r>
    </w:p>
    <w:p w:rsidR="001D5ADA" w:rsidRPr="001D5ADA" w:rsidRDefault="001D5ADA" w:rsidP="001D5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D5ADA">
        <w:rPr>
          <w:rFonts w:ascii="Calibri" w:eastAsia="Times New Roman" w:hAnsi="Calibri" w:cs="Times New Roman"/>
          <w:lang w:eastAsia="it-IT"/>
        </w:rPr>
        <w:t> </w:t>
      </w:r>
    </w:p>
    <w:p w:rsidR="001D5ADA" w:rsidRPr="001D5ADA" w:rsidRDefault="001D5ADA" w:rsidP="001D5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D5ADA">
        <w:rPr>
          <w:rFonts w:ascii="Calibri" w:eastAsia="Times New Roman" w:hAnsi="Calibri" w:cs="Times New Roman"/>
          <w:lang w:eastAsia="it-IT"/>
        </w:rPr>
        <w:t xml:space="preserve">Lucio </w:t>
      </w:r>
      <w:proofErr w:type="spellStart"/>
      <w:r w:rsidRPr="001D5ADA">
        <w:rPr>
          <w:rFonts w:ascii="Calibri" w:eastAsia="Times New Roman" w:hAnsi="Calibri" w:cs="Times New Roman"/>
          <w:lang w:eastAsia="it-IT"/>
        </w:rPr>
        <w:t>Aramini</w:t>
      </w:r>
      <w:proofErr w:type="spellEnd"/>
    </w:p>
    <w:p w:rsidR="001D5ADA" w:rsidRPr="001D5ADA" w:rsidRDefault="001D5ADA" w:rsidP="001D5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D5ADA">
        <w:rPr>
          <w:rFonts w:ascii="Calibri" w:eastAsia="Times New Roman" w:hAnsi="Calibri" w:cs="Times New Roman"/>
          <w:lang w:eastAsia="it-IT"/>
        </w:rPr>
        <w:t>Dipartimento Cure Primari</w:t>
      </w:r>
      <w:r>
        <w:rPr>
          <w:rFonts w:ascii="Calibri" w:eastAsia="Times New Roman" w:hAnsi="Calibri" w:cs="Times New Roman"/>
          <w:lang w:eastAsia="it-IT"/>
        </w:rPr>
        <w:t>e</w:t>
      </w:r>
    </w:p>
    <w:p w:rsidR="00C85D8C" w:rsidRDefault="00C85D8C"/>
    <w:sectPr w:rsidR="00C85D8C" w:rsidSect="0058687D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/>
  <w:rsids>
    <w:rsidRoot w:val="001D5ADA"/>
    <w:rsid w:val="00002EDB"/>
    <w:rsid w:val="00165291"/>
    <w:rsid w:val="001D5ADA"/>
    <w:rsid w:val="0058687D"/>
    <w:rsid w:val="0063790A"/>
    <w:rsid w:val="00810ED9"/>
    <w:rsid w:val="00BD38D8"/>
    <w:rsid w:val="00C85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5D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basedOn w:val="Normale"/>
    <w:rsid w:val="001D5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1D5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1D5AD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1D5AD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6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acebook.com/corrieredellasera/videos/stop-ai-dubbi-speciale-bambini-il-coordinatore-della-campagna-vaccinale-della-re/1356945891407427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419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Novella Ceretti</dc:creator>
  <cp:lastModifiedBy>Novella Ceretti</cp:lastModifiedBy>
  <cp:revision>1</cp:revision>
  <dcterms:created xsi:type="dcterms:W3CDTF">2022-01-17T16:35:00Z</dcterms:created>
  <dcterms:modified xsi:type="dcterms:W3CDTF">2022-01-17T16:38:00Z</dcterms:modified>
</cp:coreProperties>
</file>